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23524">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w:t>
      </w:r>
    </w:p>
    <w:p w14:paraId="34DB6915">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both"/>
        <w:textAlignment w:val="auto"/>
        <w:rPr>
          <w:rFonts w:hint="eastAsia" w:ascii="黑体" w:hAnsi="黑体" w:eastAsia="黑体" w:cs="黑体"/>
          <w:color w:val="auto"/>
          <w:kern w:val="0"/>
          <w:sz w:val="32"/>
          <w:szCs w:val="32"/>
          <w:lang w:val="en-US" w:eastAsia="zh-CN"/>
        </w:rPr>
      </w:pPr>
    </w:p>
    <w:p w14:paraId="63C9820C">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方正小标宋简体" w:hAnsi="宋体" w:eastAsia="方正小标宋简体" w:cs="仿宋_GB2312"/>
          <w:color w:val="auto"/>
          <w:kern w:val="0"/>
          <w:sz w:val="44"/>
          <w:szCs w:val="44"/>
        </w:rPr>
      </w:pPr>
      <w:r>
        <w:rPr>
          <w:rFonts w:hint="eastAsia" w:ascii="方正小标宋简体" w:hAnsi="宋体" w:eastAsia="方正小标宋简体" w:cs="仿宋_GB2312"/>
          <w:color w:val="auto"/>
          <w:kern w:val="0"/>
          <w:sz w:val="44"/>
          <w:szCs w:val="44"/>
        </w:rPr>
        <w:t>秦皇岛职业技术学院</w:t>
      </w:r>
    </w:p>
    <w:p w14:paraId="67E2A450">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color w:val="auto"/>
          <w:kern w:val="0"/>
          <w:sz w:val="44"/>
          <w:szCs w:val="44"/>
          <w:lang w:eastAsia="zh-CN"/>
        </w:rPr>
      </w:pPr>
      <w:r>
        <w:rPr>
          <w:rFonts w:hint="eastAsia" w:ascii="方正小标宋简体" w:hAnsi="宋体" w:eastAsia="方正小标宋简体" w:cs="仿宋_GB2312"/>
          <w:color w:val="auto"/>
          <w:kern w:val="0"/>
          <w:sz w:val="44"/>
          <w:szCs w:val="44"/>
        </w:rPr>
        <w:t>高等学校教师系列职称评审办法</w:t>
      </w:r>
    </w:p>
    <w:p w14:paraId="37060B9D">
      <w:pPr>
        <w:keepNext w:val="0"/>
        <w:keepLines w:val="0"/>
        <w:pageBreakBefore w:val="0"/>
        <w:widowControl w:val="0"/>
        <w:shd w:val="clear" w:color="auto" w:fill="FFFFFF"/>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p>
    <w:p w14:paraId="4F8FEE0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第一章 总  则</w:t>
      </w:r>
    </w:p>
    <w:p w14:paraId="325E406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_GB2312" w:hAnsi="仿宋_GB2312" w:eastAsia="仿宋_GB2312" w:cs="仿宋_GB2312"/>
          <w:color w:val="auto"/>
          <w:kern w:val="0"/>
          <w:sz w:val="32"/>
          <w:szCs w:val="32"/>
        </w:rPr>
        <w:t xml:space="preserve"> 按照《关于深化高等学校教师职称制度改革的实施方案》（冀人社发〔2021〕9号）、《河北省职称评审管理办法》（冀人社发〔2023〕1号）、《关于进一步做好职称评审工作的实施意见》（冀职改办字〔2023〕8号）、《河北省高、中级职称申报评审条件》（冀职改办字〔2023〕18号）等文件要求，结合学院实际制定本办法。</w:t>
      </w:r>
    </w:p>
    <w:p w14:paraId="6C87F67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第二条 </w:t>
      </w:r>
      <w:r>
        <w:rPr>
          <w:rFonts w:hint="eastAsia" w:ascii="仿宋_GB2312" w:hAnsi="仿宋_GB2312" w:eastAsia="仿宋_GB2312" w:cs="仿宋_GB2312"/>
          <w:color w:val="auto"/>
          <w:kern w:val="0"/>
          <w:sz w:val="32"/>
          <w:szCs w:val="32"/>
        </w:rPr>
        <w:t>以习近平新时代中国特色社会主义思想为指导，遵循高职教师职业特点和发展规律，坚持以德为先、以人为本、问题导向、多元评价的原则，深化我院高等学校教师系列职称评审制度改革，充分调动我院教师的积极性，激发教师创新创造活力，建设一支高素质、专业化、创新型教师队伍。</w:t>
      </w:r>
    </w:p>
    <w:p w14:paraId="537DE1F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第二章 评审范围</w:t>
      </w:r>
    </w:p>
    <w:p w14:paraId="6E39FDC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cs="宋体"/>
          <w:color w:val="auto"/>
          <w:kern w:val="0"/>
          <w:sz w:val="32"/>
          <w:szCs w:val="32"/>
        </w:rPr>
      </w:pPr>
      <w:r>
        <w:rPr>
          <w:rFonts w:hint="eastAsia" w:ascii="仿宋_GB2312" w:hAnsi="仿宋_GB2312" w:eastAsia="仿宋_GB2312" w:cs="仿宋_GB2312"/>
          <w:b/>
          <w:bCs/>
          <w:color w:val="auto"/>
          <w:kern w:val="0"/>
          <w:sz w:val="32"/>
          <w:szCs w:val="32"/>
        </w:rPr>
        <w:t>第三条</w:t>
      </w:r>
      <w:r>
        <w:rPr>
          <w:rFonts w:hint="eastAsia" w:ascii="仿宋_GB2312" w:hAnsi="仿宋_GB2312" w:eastAsia="仿宋_GB2312" w:cs="仿宋_GB2312"/>
          <w:color w:val="auto"/>
          <w:kern w:val="0"/>
          <w:sz w:val="32"/>
          <w:szCs w:val="32"/>
        </w:rPr>
        <w:t xml:space="preserve"> 评审人员范围为我院教师（含人事代理人员），</w:t>
      </w:r>
      <w:bookmarkStart w:id="0" w:name="_Hlk152366908"/>
      <w:r>
        <w:rPr>
          <w:rFonts w:hint="eastAsia" w:ascii="仿宋_GB2312" w:hAnsi="仿宋_GB2312" w:eastAsia="仿宋_GB2312" w:cs="仿宋_GB2312"/>
          <w:color w:val="auto"/>
          <w:kern w:val="0"/>
          <w:sz w:val="32"/>
          <w:szCs w:val="32"/>
        </w:rPr>
        <w:t>评审系列</w:t>
      </w:r>
      <w:bookmarkEnd w:id="0"/>
      <w:r>
        <w:rPr>
          <w:rFonts w:hint="eastAsia" w:ascii="仿宋_GB2312" w:hAnsi="仿宋_GB2312" w:eastAsia="仿宋_GB2312" w:cs="仿宋_GB2312"/>
          <w:color w:val="auto"/>
          <w:kern w:val="0"/>
          <w:sz w:val="32"/>
          <w:szCs w:val="32"/>
        </w:rPr>
        <w:t>为高等学校教师系列，评审层级为教授及以下职称。</w:t>
      </w:r>
    </w:p>
    <w:p w14:paraId="509B47E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第三章 申报条件</w:t>
      </w:r>
    </w:p>
    <w:p w14:paraId="2E41C020">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hint="eastAsia" w:ascii="仿宋_GB2312" w:hAnsi="仿宋_GB2312" w:eastAsia="仿宋_GB2312" w:cs="仿宋_GB2312"/>
          <w:color w:val="auto"/>
          <w:kern w:val="0"/>
          <w:sz w:val="32"/>
          <w:szCs w:val="32"/>
        </w:rPr>
        <w:t xml:space="preserve"> 根据《河北省高等学校教师系列高职高专院校职称申报评审条件》《河北省高等学校教师系列学生思想政治教育专业职称申报评审条件》申报评审。</w:t>
      </w:r>
    </w:p>
    <w:p w14:paraId="1E33E587">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auto"/>
          <w:kern w:val="0"/>
          <w:sz w:val="32"/>
          <w:szCs w:val="32"/>
        </w:rPr>
      </w:pPr>
      <w:r>
        <w:rPr>
          <w:rFonts w:hint="eastAsia" w:ascii="仿宋_GB2312" w:hAnsi="仿宋_GB2312" w:eastAsia="仿宋_GB2312" w:cs="仿宋_GB2312"/>
          <w:color w:val="auto"/>
          <w:kern w:val="0"/>
          <w:sz w:val="32"/>
          <w:szCs w:val="32"/>
        </w:rPr>
        <w:t>具体条件依据《职称量化测评方案》及其附录执行。</w:t>
      </w:r>
    </w:p>
    <w:p w14:paraId="174ED1DA">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第四章 组织机构</w:t>
      </w:r>
    </w:p>
    <w:p w14:paraId="44263A6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仿宋_GB2312" w:hAnsi="仿宋_GB2312" w:eastAsia="仿宋_GB2312" w:cs="仿宋_GB2312"/>
          <w:color w:val="auto"/>
          <w:kern w:val="0"/>
          <w:sz w:val="32"/>
          <w:szCs w:val="32"/>
        </w:rPr>
        <w:t xml:space="preserve"> 成立秦皇岛职业技术学院职称工作领导小组。组长由党委书记、院长担任，成员为学院领导班子全体成员。</w:t>
      </w:r>
    </w:p>
    <w:p w14:paraId="697B3F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领导小组负责研究、指导、协调、组织我院高等学校教师系列职称评审相关工作。</w:t>
      </w:r>
    </w:p>
    <w:p w14:paraId="71A88EF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第六条</w:t>
      </w:r>
      <w:r>
        <w:rPr>
          <w:rFonts w:hint="eastAsia" w:ascii="仿宋_GB2312" w:hAnsi="仿宋_GB2312" w:eastAsia="仿宋_GB2312" w:cs="仿宋_GB2312"/>
          <w:color w:val="auto"/>
          <w:kern w:val="0"/>
          <w:sz w:val="32"/>
          <w:szCs w:val="32"/>
        </w:rPr>
        <w:t xml:space="preserve"> 领导小组下设办公室</w:t>
      </w:r>
      <w:r>
        <w:rPr>
          <w:rFonts w:hint="eastAsia" w:ascii="仿宋_GB2312" w:hAnsi="仿宋_GB2312" w:eastAsia="仿宋_GB2312" w:cs="仿宋_GB2312"/>
          <w:strike w:val="0"/>
          <w:color w:val="auto"/>
          <w:kern w:val="0"/>
          <w:sz w:val="32"/>
          <w:szCs w:val="32"/>
        </w:rPr>
        <w:t>（简称职称办）</w:t>
      </w:r>
      <w:r>
        <w:rPr>
          <w:rFonts w:hint="eastAsia" w:ascii="仿宋_GB2312" w:hAnsi="仿宋_GB2312" w:eastAsia="仿宋_GB2312" w:cs="仿宋_GB2312"/>
          <w:color w:val="auto"/>
          <w:kern w:val="0"/>
          <w:sz w:val="32"/>
          <w:szCs w:val="32"/>
        </w:rPr>
        <w:t>，办公室设在人事处。主任由分管人事工作的院领导担任，成员由人事、教务、科研等部门负责人组成。</w:t>
      </w:r>
    </w:p>
    <w:p w14:paraId="39C9F3D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负责职称评审工作的具体实施。做好政策解读，妥善解决职称评审中遇到的问题和矛盾，确保评审工作平稳有序进行。</w:t>
      </w:r>
    </w:p>
    <w:p w14:paraId="7BE7CE9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 xml:space="preserve">第七条 </w:t>
      </w:r>
      <w:r>
        <w:rPr>
          <w:rFonts w:hint="eastAsia" w:ascii="仿宋_GB2312" w:hAnsi="仿宋_GB2312" w:eastAsia="仿宋_GB2312" w:cs="仿宋_GB2312"/>
          <w:bCs/>
          <w:color w:val="auto"/>
          <w:kern w:val="0"/>
          <w:sz w:val="32"/>
          <w:szCs w:val="32"/>
        </w:rPr>
        <w:t>成立基层评议组。各系部成立基层评议组，组长由系部书记、主任担任，成员由系部副主任、教学办主任、教研室主任、高级职称教师代表组成，一般不少于9人。</w:t>
      </w:r>
    </w:p>
    <w:p w14:paraId="69D7DD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评议组负责对申报人员的参评资格、个人量化计分等内容进行初核。</w:t>
      </w:r>
    </w:p>
    <w:p w14:paraId="1A68E21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bCs/>
          <w:color w:val="auto"/>
          <w:kern w:val="0"/>
          <w:sz w:val="32"/>
          <w:szCs w:val="32"/>
        </w:rPr>
        <w:t xml:space="preserve"> 成立</w:t>
      </w:r>
      <w:r>
        <w:rPr>
          <w:rFonts w:hint="eastAsia" w:ascii="仿宋_GB2312" w:hAnsi="仿宋_GB2312" w:eastAsia="仿宋_GB2312" w:cs="仿宋_GB2312"/>
          <w:color w:val="auto"/>
          <w:kern w:val="0"/>
          <w:sz w:val="32"/>
          <w:szCs w:val="32"/>
        </w:rPr>
        <w:t>资格审查工作组。组长由分管人事工作的院领导担任，成员由人事、教务、科研等部门负责人及相关人员组成。</w:t>
      </w:r>
    </w:p>
    <w:p w14:paraId="28944E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工作组负责</w:t>
      </w:r>
      <w:r>
        <w:rPr>
          <w:rFonts w:hint="eastAsia" w:ascii="仿宋_GB2312" w:hAnsi="仿宋_GB2312" w:eastAsia="仿宋_GB2312" w:cs="仿宋_GB2312"/>
          <w:bCs/>
          <w:color w:val="auto"/>
          <w:kern w:val="0"/>
          <w:sz w:val="32"/>
          <w:szCs w:val="32"/>
        </w:rPr>
        <w:t>对申报人员的参评资格进行审核。</w:t>
      </w:r>
    </w:p>
    <w:p w14:paraId="4FC794A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第九条</w:t>
      </w:r>
      <w:r>
        <w:rPr>
          <w:rFonts w:hint="eastAsia" w:ascii="仿宋_GB2312" w:hAnsi="仿宋_GB2312" w:eastAsia="仿宋_GB2312" w:cs="仿宋_GB2312"/>
          <w:color w:val="auto"/>
          <w:kern w:val="0"/>
          <w:sz w:val="32"/>
          <w:szCs w:val="32"/>
        </w:rPr>
        <w:t xml:space="preserve"> 分别成立人事工作、教学工作、科研工作等量化计分工作组。组长由分管人事、教学、科研等工作的院领导担任，成员由相关部门人员组成。</w:t>
      </w:r>
    </w:p>
    <w:p w14:paraId="3EBDF8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工作组负责</w:t>
      </w:r>
      <w:r>
        <w:rPr>
          <w:rFonts w:hint="eastAsia" w:ascii="仿宋_GB2312" w:hAnsi="仿宋_GB2312" w:eastAsia="仿宋_GB2312" w:cs="仿宋_GB2312"/>
          <w:bCs/>
          <w:color w:val="auto"/>
          <w:kern w:val="0"/>
          <w:sz w:val="32"/>
          <w:szCs w:val="32"/>
        </w:rPr>
        <w:t>对申报人员的量化计分情况进行审核。</w:t>
      </w:r>
    </w:p>
    <w:p w14:paraId="3426E56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第十条 </w:t>
      </w:r>
      <w:r>
        <w:rPr>
          <w:rFonts w:hint="eastAsia" w:ascii="仿宋_GB2312" w:hAnsi="仿宋_GB2312" w:eastAsia="仿宋_GB2312" w:cs="仿宋_GB2312"/>
          <w:color w:val="auto"/>
          <w:kern w:val="0"/>
          <w:sz w:val="32"/>
          <w:szCs w:val="32"/>
        </w:rPr>
        <w:t>成立秦皇岛职业技术学院专业技术职务任职资格推荐委员会（简称推委会）。</w:t>
      </w:r>
      <w:bookmarkStart w:id="1" w:name="_Hlk152362394"/>
      <w:r>
        <w:rPr>
          <w:rFonts w:hint="eastAsia" w:ascii="仿宋_GB2312" w:hAnsi="仿宋_GB2312" w:eastAsia="仿宋_GB2312" w:cs="仿宋_GB2312"/>
          <w:color w:val="auto"/>
          <w:kern w:val="0"/>
          <w:sz w:val="32"/>
          <w:szCs w:val="32"/>
        </w:rPr>
        <w:t>主任由学院院长担任，副主任由分管人事、教学、科研工作的院领导担任，</w:t>
      </w:r>
      <w:bookmarkEnd w:id="1"/>
      <w:r>
        <w:rPr>
          <w:rFonts w:hint="eastAsia" w:ascii="仿宋_GB2312" w:hAnsi="仿宋_GB2312" w:eastAsia="仿宋_GB2312" w:cs="仿宋_GB2312"/>
          <w:bCs/>
          <w:color w:val="auto"/>
          <w:kern w:val="0"/>
          <w:sz w:val="32"/>
          <w:szCs w:val="32"/>
        </w:rPr>
        <w:t>成员由相关系部负责人及具备正高级职称的教师组成。</w:t>
      </w:r>
    </w:p>
    <w:p w14:paraId="2BB5527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推委会负责对参评人员资格及量化分数进行最终确认，并在指标内确定拟推荐人选。</w:t>
      </w:r>
    </w:p>
    <w:p w14:paraId="340A5E8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第十一条 </w:t>
      </w:r>
      <w:r>
        <w:rPr>
          <w:rFonts w:hint="eastAsia" w:ascii="仿宋_GB2312" w:hAnsi="仿宋_GB2312" w:eastAsia="仿宋_GB2312" w:cs="仿宋_GB2312"/>
          <w:color w:val="auto"/>
          <w:kern w:val="0"/>
          <w:sz w:val="32"/>
          <w:szCs w:val="32"/>
        </w:rPr>
        <w:t>成立秦皇岛职业技术学院高等学校教师系列专业技术职务任职资格评审委员会（简称</w:t>
      </w:r>
      <w:bookmarkStart w:id="2" w:name="_Hlk152364043"/>
      <w:r>
        <w:rPr>
          <w:rFonts w:hint="eastAsia" w:ascii="仿宋_GB2312" w:hAnsi="仿宋_GB2312" w:eastAsia="仿宋_GB2312" w:cs="仿宋_GB2312"/>
          <w:color w:val="auto"/>
          <w:kern w:val="0"/>
          <w:sz w:val="32"/>
          <w:szCs w:val="32"/>
        </w:rPr>
        <w:t>评委会</w:t>
      </w:r>
      <w:bookmarkEnd w:id="2"/>
      <w:r>
        <w:rPr>
          <w:rFonts w:hint="eastAsia" w:ascii="仿宋_GB2312" w:hAnsi="仿宋_GB2312" w:eastAsia="仿宋_GB2312" w:cs="仿宋_GB2312"/>
          <w:color w:val="auto"/>
          <w:kern w:val="0"/>
          <w:sz w:val="32"/>
          <w:szCs w:val="32"/>
        </w:rPr>
        <w:t>）。设主任委员1人、副主任委员1-2人，</w:t>
      </w:r>
      <w:r>
        <w:rPr>
          <w:rFonts w:hint="eastAsia" w:ascii="仿宋_GB2312" w:hAnsi="仿宋_GB2312" w:eastAsia="仿宋_GB2312" w:cs="仿宋_GB2312"/>
          <w:bCs/>
          <w:color w:val="auto"/>
          <w:kern w:val="0"/>
          <w:sz w:val="32"/>
          <w:szCs w:val="32"/>
        </w:rPr>
        <w:t>委员不少于25人。</w:t>
      </w:r>
    </w:p>
    <w:p w14:paraId="15C0C85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评委会在学院职称工作领导小组的领导下，科学、规范、公平、公正地完成评审工作。</w:t>
      </w:r>
    </w:p>
    <w:p w14:paraId="7CF34CA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第五章 职称评审工作程序</w:t>
      </w:r>
    </w:p>
    <w:p w14:paraId="354B690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 xml:space="preserve">第十二条 </w:t>
      </w:r>
      <w:r>
        <w:rPr>
          <w:rFonts w:hint="eastAsia" w:ascii="仿宋_GB2312" w:hAnsi="仿宋_GB2312" w:eastAsia="仿宋_GB2312" w:cs="仿宋_GB2312"/>
          <w:color w:val="auto"/>
          <w:sz w:val="32"/>
          <w:szCs w:val="32"/>
        </w:rPr>
        <w:t>工作程序</w:t>
      </w:r>
    </w:p>
    <w:p w14:paraId="269763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（一）制定年度工作方案。</w:t>
      </w:r>
      <w:r>
        <w:rPr>
          <w:rFonts w:hint="eastAsia" w:ascii="仿宋_GB2312" w:hAnsi="仿宋_GB2312" w:eastAsia="仿宋_GB2312" w:cs="仿宋_GB2312"/>
          <w:strike w:val="0"/>
          <w:color w:val="auto"/>
          <w:kern w:val="0"/>
          <w:sz w:val="32"/>
          <w:szCs w:val="32"/>
          <w:highlight w:val="none"/>
        </w:rPr>
        <w:t>职称办</w:t>
      </w:r>
      <w:r>
        <w:rPr>
          <w:rFonts w:hint="eastAsia" w:ascii="仿宋_GB2312" w:hAnsi="仿宋_GB2312" w:eastAsia="仿宋_GB2312" w:cs="仿宋_GB2312"/>
          <w:color w:val="auto"/>
          <w:kern w:val="0"/>
          <w:sz w:val="32"/>
          <w:szCs w:val="32"/>
          <w:highlight w:val="none"/>
        </w:rPr>
        <w:t>制定年度职称评审工作方案，并向全院公布。</w:t>
      </w:r>
    </w:p>
    <w:p w14:paraId="565614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（二）个人申报。申报人进行个人量化计分，并向所属系部申报个人材料。</w:t>
      </w:r>
    </w:p>
    <w:p w14:paraId="062742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（三）系部初核。系部评议组对申报人员的参评资格、量化计分等内容进行初核，初核结果在系部内公示。</w:t>
      </w:r>
    </w:p>
    <w:p w14:paraId="2565CE3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（四）资格审核。资格审查工作组对申报人员参评资格进行审核、确认。</w:t>
      </w:r>
    </w:p>
    <w:p w14:paraId="1499F4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（五）确定推荐数量。学院职称工作领导小组研究确定年度职称评审推荐数量及指标分配情况，并向全院公布。</w:t>
      </w:r>
    </w:p>
    <w:p w14:paraId="688A7D9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（六）量化计分。</w:t>
      </w: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统筹协调人事工作、教学工作、科研工作等量化计分工作组对申报人员的量化计分情况进行审核、确认。</w:t>
      </w:r>
    </w:p>
    <w:p w14:paraId="1ECA88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（七）量化结果公示。</w:t>
      </w: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对量化结果进行汇总、复核并公示。</w:t>
      </w:r>
    </w:p>
    <w:p w14:paraId="31BD430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（八）确定拟推荐人选。推委会在听取</w:t>
      </w: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关于资格审核、量化计分等工作汇报的基础上，对有争议的问题进行复议，对参评人员资格及量化分数进行最终确认，在指标内确定拟推荐人选。</w:t>
      </w:r>
    </w:p>
    <w:p w14:paraId="3AD1328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（九）拟推荐人选公示。</w:t>
      </w: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对推荐人选进行公示。</w:t>
      </w:r>
    </w:p>
    <w:p w14:paraId="719418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（十）组织评审。</w:t>
      </w:r>
      <w:r>
        <w:rPr>
          <w:rFonts w:hint="eastAsia" w:ascii="仿宋_GB2312" w:hAnsi="仿宋_GB2312" w:eastAsia="仿宋_GB2312" w:cs="仿宋_GB2312"/>
          <w:bCs/>
          <w:color w:val="auto"/>
          <w:kern w:val="0"/>
          <w:sz w:val="32"/>
          <w:szCs w:val="32"/>
        </w:rPr>
        <w:t>评委会</w:t>
      </w:r>
      <w:r>
        <w:rPr>
          <w:rFonts w:hint="eastAsia" w:ascii="仿宋_GB2312" w:hAnsi="仿宋_GB2312" w:eastAsia="仿宋_GB2312" w:cs="仿宋_GB2312"/>
          <w:color w:val="auto"/>
          <w:kern w:val="0"/>
          <w:sz w:val="32"/>
          <w:szCs w:val="32"/>
        </w:rPr>
        <w:t>依据《高等学校教师系列专业技术职务任职资格评审委员会管理办法》，进行评议、答辩及评审工作，确定评审结果。</w:t>
      </w:r>
    </w:p>
    <w:p w14:paraId="52046C1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（十一）评审结果公示。</w:t>
      </w:r>
      <w:r>
        <w:rPr>
          <w:rFonts w:hint="eastAsia" w:ascii="仿宋_GB2312" w:hAnsi="仿宋_GB2312" w:eastAsia="仿宋_GB2312" w:cs="仿宋_GB2312"/>
          <w:strike w:val="0"/>
          <w:color w:val="auto"/>
          <w:kern w:val="0"/>
          <w:sz w:val="32"/>
          <w:szCs w:val="32"/>
        </w:rPr>
        <w:t>职称办</w:t>
      </w:r>
      <w:r>
        <w:rPr>
          <w:rFonts w:hint="eastAsia" w:ascii="仿宋_GB2312" w:hAnsi="仿宋_GB2312" w:eastAsia="仿宋_GB2312" w:cs="仿宋_GB2312"/>
          <w:color w:val="auto"/>
          <w:kern w:val="0"/>
          <w:sz w:val="32"/>
          <w:szCs w:val="32"/>
        </w:rPr>
        <w:t>对评审结果进行公示。</w:t>
      </w:r>
    </w:p>
    <w:p w14:paraId="17E344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（十二）上报备案。评审结果经学院职称工作领导小组批准后，按规定程序报省人社厅备案。</w:t>
      </w:r>
    </w:p>
    <w:p w14:paraId="2BF1531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第六章 纪律监督及违纪处理</w:t>
      </w:r>
    </w:p>
    <w:p w14:paraId="77AC6CB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bookmarkStart w:id="3" w:name="_Hlk152364620"/>
      <w:r>
        <w:rPr>
          <w:rFonts w:hint="eastAsia" w:ascii="仿宋_GB2312" w:hAnsi="仿宋_GB2312" w:eastAsia="仿宋_GB2312" w:cs="仿宋_GB2312"/>
          <w:b/>
          <w:bCs/>
          <w:color w:val="auto"/>
          <w:kern w:val="0"/>
          <w:sz w:val="32"/>
          <w:szCs w:val="32"/>
        </w:rPr>
        <w:t>第十三条</w:t>
      </w:r>
      <w:bookmarkEnd w:id="3"/>
      <w:r>
        <w:rPr>
          <w:rFonts w:hint="eastAsia" w:ascii="仿宋_GB2312" w:hAnsi="仿宋_GB2312" w:eastAsia="仿宋_GB2312" w:cs="仿宋_GB2312"/>
          <w:b/>
          <w:bCs/>
          <w:color w:val="auto"/>
          <w:kern w:val="0"/>
          <w:sz w:val="32"/>
          <w:szCs w:val="32"/>
        </w:rPr>
        <w:t xml:space="preserve"> </w:t>
      </w:r>
      <w:r>
        <w:rPr>
          <w:rFonts w:hint="eastAsia" w:ascii="仿宋_GB2312" w:hAnsi="仿宋_GB2312" w:eastAsia="仿宋_GB2312" w:cs="仿宋_GB2312"/>
          <w:color w:val="auto"/>
          <w:kern w:val="0"/>
          <w:sz w:val="32"/>
          <w:szCs w:val="32"/>
        </w:rPr>
        <w:t>实行职称申报评审诚信承诺制。申报人对本人申报行为负责，承诺申报内容及所提供的材料真实、准确；审核部门对审核推荐行为负责，承诺所推荐人员申报评审资格条件及申报材料的审核情况真实、准确；评审专家和工作人员承诺遵守评审工作纪律要求。</w:t>
      </w:r>
    </w:p>
    <w:p w14:paraId="4A11EB2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第十四条 </w:t>
      </w:r>
      <w:r>
        <w:rPr>
          <w:rFonts w:hint="eastAsia" w:ascii="仿宋_GB2312" w:hAnsi="仿宋_GB2312" w:eastAsia="仿宋_GB2312" w:cs="仿宋_GB2312"/>
          <w:color w:val="auto"/>
          <w:kern w:val="0"/>
          <w:sz w:val="32"/>
          <w:szCs w:val="32"/>
        </w:rPr>
        <w:t>对弄虚作假、提供不实材料或违反规定的申报人员，取消其申报评审资格，列入诚信“黑名单”，3年内不得再申报评审，并视情况予以严肃处理。已经通过评审的，予以撤销。</w:t>
      </w:r>
    </w:p>
    <w:p w14:paraId="0E7270C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第十五条 </w:t>
      </w:r>
      <w:r>
        <w:rPr>
          <w:rFonts w:hint="eastAsia" w:ascii="仿宋_GB2312" w:hAnsi="仿宋_GB2312" w:eastAsia="仿宋_GB2312" w:cs="仿宋_GB2312"/>
          <w:color w:val="auto"/>
          <w:kern w:val="0"/>
          <w:sz w:val="32"/>
          <w:szCs w:val="32"/>
        </w:rPr>
        <w:t>对评审材料审核不严，包庇、纵容弄虚作假，甚至出具虚假证明的部门和个人，追究部门主要负责人或个人的责任，并予以通报批评或行政处分。</w:t>
      </w:r>
    </w:p>
    <w:p w14:paraId="03FBE0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第十六条 </w:t>
      </w:r>
      <w:r>
        <w:rPr>
          <w:rFonts w:hint="eastAsia" w:ascii="仿宋_GB2312" w:hAnsi="仿宋_GB2312" w:eastAsia="仿宋_GB2312" w:cs="仿宋_GB2312"/>
          <w:color w:val="auto"/>
          <w:kern w:val="0"/>
          <w:sz w:val="32"/>
          <w:szCs w:val="32"/>
        </w:rPr>
        <w:t>对不正确履行职责，违反评审工作纪律的评委，取消其评委资格，终身不得进入职称评审专家库，并视情况予以依规处理。</w:t>
      </w:r>
    </w:p>
    <w:p w14:paraId="1B1207A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第七章 附  则</w:t>
      </w:r>
    </w:p>
    <w:p w14:paraId="1A75EC9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 xml:space="preserve">第十七条 </w:t>
      </w:r>
      <w:bookmarkStart w:id="4" w:name="_Hlk154043889"/>
      <w:r>
        <w:rPr>
          <w:rFonts w:hint="eastAsia" w:ascii="仿宋_GB2312" w:hAnsi="宋体" w:eastAsia="仿宋_GB2312" w:cs="宋体"/>
          <w:color w:val="auto"/>
          <w:kern w:val="0"/>
          <w:sz w:val="32"/>
          <w:szCs w:val="32"/>
        </w:rPr>
        <w:t>本办法由学院职称工作领导小组办公室负责解释。</w:t>
      </w:r>
      <w:bookmarkEnd w:id="4"/>
    </w:p>
    <w:p w14:paraId="411D571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b/>
          <w:bCs/>
          <w:color w:val="auto"/>
          <w:kern w:val="0"/>
          <w:sz w:val="32"/>
          <w:szCs w:val="32"/>
        </w:rPr>
        <w:t xml:space="preserve">第十八条 </w:t>
      </w:r>
      <w:r>
        <w:rPr>
          <w:rFonts w:hint="eastAsia" w:ascii="仿宋_GB2312" w:hAnsi="宋体" w:eastAsia="仿宋_GB2312" w:cs="宋体"/>
          <w:color w:val="auto"/>
          <w:kern w:val="0"/>
          <w:sz w:val="32"/>
          <w:szCs w:val="32"/>
        </w:rPr>
        <w:t>本办法自公布之日起实施，</w:t>
      </w:r>
      <w:r>
        <w:rPr>
          <w:rFonts w:hint="eastAsia" w:ascii="仿宋_GB2312" w:hAnsi="宋体" w:eastAsia="仿宋_GB2312" w:cs="宋体"/>
          <w:color w:val="auto"/>
          <w:kern w:val="0"/>
          <w:sz w:val="32"/>
          <w:szCs w:val="32"/>
          <w:lang w:val="en-US" w:eastAsia="zh-CN"/>
        </w:rPr>
        <w:t>原《秦皇岛职业技术学院高等学校教师系列职称评审办法》（秦职院〔2023〕23号）同时废止。</w:t>
      </w:r>
    </w:p>
    <w:p w14:paraId="6D3EF0D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auto"/>
          <w:kern w:val="0"/>
          <w:sz w:val="32"/>
          <w:szCs w:val="32"/>
        </w:rPr>
      </w:pPr>
    </w:p>
    <w:p w14:paraId="5EA3E9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附件：1.秦皇岛职业技术学院职称量化测评方案</w:t>
      </w:r>
    </w:p>
    <w:p w14:paraId="3EE4AD1B">
      <w:pPr>
        <w:keepNext w:val="0"/>
        <w:keepLines w:val="0"/>
        <w:pageBreakBefore w:val="0"/>
        <w:widowControl w:val="0"/>
        <w:kinsoku/>
        <w:wordWrap/>
        <w:overflowPunct/>
        <w:topLinePunct w:val="0"/>
        <w:autoSpaceDE/>
        <w:autoSpaceDN/>
        <w:bidi w:val="0"/>
        <w:adjustRightInd/>
        <w:snapToGrid/>
        <w:spacing w:line="540" w:lineRule="exact"/>
        <w:ind w:left="1916" w:leftChars="760" w:hanging="320" w:hangingChars="100"/>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2.高等学校教师系列专业技术职务任职资格评审委员会管理办法</w:t>
      </w:r>
    </w:p>
    <w:p w14:paraId="40471EBA">
      <w:pPr>
        <w:keepNext w:val="0"/>
        <w:keepLines w:val="0"/>
        <w:pageBreakBefore w:val="0"/>
        <w:widowControl w:val="0"/>
        <w:kinsoku/>
        <w:wordWrap/>
        <w:overflowPunct/>
        <w:topLinePunct w:val="0"/>
        <w:autoSpaceDE/>
        <w:autoSpaceDN/>
        <w:bidi w:val="0"/>
        <w:adjustRightInd/>
        <w:snapToGrid/>
        <w:spacing w:line="540" w:lineRule="exact"/>
        <w:ind w:right="840" w:rightChars="400" w:firstLine="640" w:firstLineChars="200"/>
        <w:jc w:val="right"/>
        <w:textAlignment w:val="auto"/>
        <w:rPr>
          <w:rFonts w:ascii="仿宋_GB2312" w:hAnsi="宋体" w:eastAsia="仿宋_GB2312" w:cs="宋体"/>
          <w:color w:val="auto"/>
          <w:kern w:val="0"/>
          <w:sz w:val="32"/>
          <w:szCs w:val="32"/>
        </w:rPr>
      </w:pPr>
    </w:p>
    <w:p w14:paraId="46BE5D19">
      <w:pPr>
        <w:keepNext w:val="0"/>
        <w:keepLines w:val="0"/>
        <w:pageBreakBefore w:val="0"/>
        <w:widowControl w:val="0"/>
        <w:kinsoku/>
        <w:wordWrap/>
        <w:overflowPunct/>
        <w:topLinePunct w:val="0"/>
        <w:autoSpaceDE/>
        <w:autoSpaceDN/>
        <w:bidi w:val="0"/>
        <w:adjustRightInd/>
        <w:snapToGrid/>
        <w:spacing w:line="540" w:lineRule="exact"/>
        <w:ind w:right="840" w:rightChars="400" w:firstLine="640" w:firstLineChars="200"/>
        <w:jc w:val="right"/>
        <w:textAlignment w:val="auto"/>
        <w:rPr>
          <w:rFonts w:ascii="仿宋_GB2312" w:hAnsi="宋体" w:eastAsia="仿宋_GB2312" w:cs="宋体"/>
          <w:color w:val="auto"/>
          <w:kern w:val="0"/>
          <w:sz w:val="32"/>
          <w:szCs w:val="32"/>
        </w:rPr>
      </w:pPr>
    </w:p>
    <w:p w14:paraId="03254B81">
      <w:pPr>
        <w:keepNext w:val="0"/>
        <w:keepLines w:val="0"/>
        <w:pageBreakBefore w:val="0"/>
        <w:widowControl w:val="0"/>
        <w:kinsoku/>
        <w:wordWrap/>
        <w:overflowPunct/>
        <w:topLinePunct w:val="0"/>
        <w:autoSpaceDE/>
        <w:autoSpaceDN/>
        <w:bidi w:val="0"/>
        <w:adjustRightInd/>
        <w:snapToGrid/>
        <w:spacing w:line="540" w:lineRule="exact"/>
        <w:ind w:right="630" w:rightChars="300" w:firstLine="640" w:firstLineChars="200"/>
        <w:jc w:val="right"/>
        <w:textAlignment w:val="auto"/>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秦皇岛职业技术学院</w:t>
      </w:r>
    </w:p>
    <w:p w14:paraId="7B07B190">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202</w:t>
      </w:r>
      <w:r>
        <w:rPr>
          <w:rFonts w:hint="eastAsia" w:ascii="仿宋_GB2312" w:hAnsi="宋体" w:eastAsia="仿宋_GB2312" w:cs="宋体"/>
          <w:color w:val="auto"/>
          <w:kern w:val="0"/>
          <w:sz w:val="32"/>
          <w:szCs w:val="32"/>
          <w:lang w:val="en-US" w:eastAsia="zh-CN"/>
        </w:rPr>
        <w:t>5</w:t>
      </w:r>
      <w:r>
        <w:rPr>
          <w:rFonts w:hint="eastAsia" w:ascii="仿宋_GB2312" w:hAnsi="宋体" w:eastAsia="仿宋_GB2312" w:cs="宋体"/>
          <w:color w:val="auto"/>
          <w:kern w:val="0"/>
          <w:sz w:val="32"/>
          <w:szCs w:val="32"/>
        </w:rPr>
        <w:t>年</w:t>
      </w:r>
      <w:r>
        <w:rPr>
          <w:rFonts w:hint="eastAsia" w:ascii="仿宋_GB2312" w:hAnsi="宋体" w:eastAsia="仿宋_GB2312" w:cs="宋体"/>
          <w:color w:val="auto"/>
          <w:kern w:val="0"/>
          <w:sz w:val="32"/>
          <w:szCs w:val="32"/>
          <w:lang w:val="en-US" w:eastAsia="zh-CN"/>
        </w:rPr>
        <w:t>4</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8</w:t>
      </w:r>
      <w:r>
        <w:rPr>
          <w:rFonts w:hint="eastAsia" w:ascii="仿宋_GB2312" w:hAnsi="宋体" w:eastAsia="仿宋_GB2312" w:cs="宋体"/>
          <w:color w:val="auto"/>
          <w:kern w:val="0"/>
          <w:sz w:val="32"/>
          <w:szCs w:val="32"/>
        </w:rPr>
        <w:t>日</w:t>
      </w:r>
    </w:p>
    <w:p w14:paraId="01DABC14">
      <w:pPr>
        <w:keepNext w:val="0"/>
        <w:keepLines w:val="0"/>
        <w:pageBreakBefore w:val="0"/>
        <w:widowControl w:val="0"/>
        <w:kinsoku/>
        <w:wordWrap/>
        <w:overflowPunct/>
        <w:topLinePunct w:val="0"/>
        <w:autoSpaceDE/>
        <w:autoSpaceDN/>
        <w:bidi w:val="0"/>
        <w:adjustRightInd/>
        <w:snapToGrid/>
        <w:spacing w:line="540" w:lineRule="exact"/>
        <w:ind w:right="840" w:rightChars="400" w:firstLine="640" w:firstLineChars="200"/>
        <w:jc w:val="center"/>
        <w:textAlignment w:val="auto"/>
        <w:rPr>
          <w:rFonts w:hint="eastAsia" w:ascii="仿宋_GB2312" w:hAnsi="宋体" w:eastAsia="仿宋_GB2312" w:cs="宋体"/>
          <w:color w:val="auto"/>
          <w:kern w:val="0"/>
          <w:sz w:val="32"/>
          <w:szCs w:val="32"/>
        </w:rPr>
      </w:pPr>
    </w:p>
    <w:p w14:paraId="09D12533">
      <w:pPr>
        <w:keepNext w:val="0"/>
        <w:keepLines w:val="0"/>
        <w:pageBreakBefore w:val="0"/>
        <w:widowControl w:val="0"/>
        <w:kinsoku/>
        <w:wordWrap/>
        <w:overflowPunct/>
        <w:topLinePunct w:val="0"/>
        <w:bidi w:val="0"/>
        <w:adjustRightInd/>
        <w:snapToGrid/>
        <w:rPr>
          <w:rFonts w:ascii="仿宋_GB2312" w:eastAsia="仿宋_GB2312"/>
          <w:color w:val="auto"/>
          <w:sz w:val="32"/>
          <w:szCs w:val="32"/>
        </w:rPr>
        <w:sectPr>
          <w:footerReference r:id="rId4" w:type="first"/>
          <w:footerReference r:id="rId3" w:type="default"/>
          <w:pgSz w:w="11906" w:h="16838"/>
          <w:pgMar w:top="2098" w:right="1474" w:bottom="1984" w:left="1587" w:header="851" w:footer="992" w:gutter="0"/>
          <w:pgNumType w:fmt="decimal"/>
          <w:cols w:space="720" w:num="1"/>
          <w:docGrid w:type="lines" w:linePitch="312" w:charSpace="0"/>
        </w:sectPr>
      </w:pPr>
    </w:p>
    <w:p w14:paraId="6F271114">
      <w:pPr>
        <w:keepNext w:val="0"/>
        <w:keepLines w:val="0"/>
        <w:pageBreakBefore w:val="0"/>
        <w:widowControl w:val="0"/>
        <w:kinsoku/>
        <w:wordWrap/>
        <w:overflowPunct/>
        <w:topLinePunct w:val="0"/>
        <w:bidi w:val="0"/>
        <w:adjustRightInd/>
        <w:snapToGrid/>
        <w:rPr>
          <w:rFonts w:ascii="黑体" w:hAnsi="黑体" w:eastAsia="黑体" w:cs="黑体"/>
          <w:color w:val="auto"/>
          <w:sz w:val="32"/>
          <w:szCs w:val="32"/>
        </w:rPr>
      </w:pPr>
      <w:r>
        <w:rPr>
          <w:rFonts w:hint="eastAsia" w:ascii="黑体" w:hAnsi="黑体" w:eastAsia="黑体" w:cs="黑体"/>
          <w:color w:val="auto"/>
          <w:sz w:val="32"/>
          <w:szCs w:val="32"/>
        </w:rPr>
        <w:t>附件1</w:t>
      </w:r>
    </w:p>
    <w:p w14:paraId="16553E0E">
      <w:pPr>
        <w:keepNext w:val="0"/>
        <w:keepLines w:val="0"/>
        <w:pageBreakBefore w:val="0"/>
        <w:widowControl w:val="0"/>
        <w:kinsoku/>
        <w:wordWrap/>
        <w:overflowPunct/>
        <w:topLinePunct w:val="0"/>
        <w:bidi w:val="0"/>
        <w:adjustRightInd/>
        <w:snapToGrid/>
        <w:spacing w:after="156" w:afterLines="50" w:line="560" w:lineRule="exact"/>
        <w:jc w:val="center"/>
        <w:rPr>
          <w:rFonts w:ascii="方正小标宋简体" w:hAnsi="方正小标宋简体" w:eastAsia="方正小标宋简体" w:cs="方正小标宋简体"/>
          <w:b/>
          <w:bCs/>
          <w:color w:val="auto"/>
          <w:sz w:val="40"/>
          <w:szCs w:val="40"/>
        </w:rPr>
      </w:pPr>
      <w:r>
        <w:rPr>
          <w:rFonts w:hint="eastAsia" w:ascii="方正小标宋简体" w:hAnsi="方正小标宋简体" w:eastAsia="方正小标宋简体" w:cs="方正小标宋简体"/>
          <w:b w:val="0"/>
          <w:bCs w:val="0"/>
          <w:color w:val="auto"/>
          <w:sz w:val="44"/>
          <w:szCs w:val="44"/>
        </w:rPr>
        <w:t>秦皇岛职业技术学院职称量化测评方案</w:t>
      </w:r>
    </w:p>
    <w:tbl>
      <w:tblPr>
        <w:tblStyle w:val="4"/>
        <w:tblW w:w="105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754"/>
        <w:gridCol w:w="9011"/>
      </w:tblGrid>
      <w:tr w14:paraId="584DE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507" w:type="dxa"/>
            <w:gridSpan w:val="2"/>
            <w:vAlign w:val="center"/>
          </w:tcPr>
          <w:p w14:paraId="5FBBC4A6">
            <w:pPr>
              <w:pStyle w:val="6"/>
              <w:keepNext w:val="0"/>
              <w:keepLines w:val="0"/>
              <w:pageBreakBefore w:val="0"/>
              <w:widowControl w:val="0"/>
              <w:tabs>
                <w:tab w:val="left" w:pos="961"/>
              </w:tabs>
              <w:kinsoku/>
              <w:wordWrap/>
              <w:overflowPunct/>
              <w:topLinePunct w:val="0"/>
              <w:bidi w:val="0"/>
              <w:adjustRightInd/>
              <w:snapToGrid/>
              <w:jc w:val="center"/>
              <w:rPr>
                <w:rFonts w:ascii="Times New Roman" w:hAnsi="Times New Roman"/>
                <w:color w:val="auto"/>
              </w:rPr>
            </w:pPr>
            <w:r>
              <w:rPr>
                <w:rFonts w:ascii="Times New Roman" w:hAnsi="Times New Roman"/>
                <w:color w:val="auto"/>
              </w:rPr>
              <w:t xml:space="preserve">项  </w:t>
            </w:r>
            <w:r>
              <w:rPr>
                <w:rFonts w:hint="eastAsia" w:ascii="Times New Roman" w:hAnsi="Times New Roman"/>
                <w:color w:val="auto"/>
              </w:rPr>
              <w:t xml:space="preserve">  </w:t>
            </w:r>
            <w:r>
              <w:rPr>
                <w:rFonts w:ascii="Times New Roman" w:hAnsi="Times New Roman"/>
                <w:color w:val="auto"/>
              </w:rPr>
              <w:t>目</w:t>
            </w:r>
          </w:p>
        </w:tc>
        <w:tc>
          <w:tcPr>
            <w:tcW w:w="9011" w:type="dxa"/>
            <w:vAlign w:val="center"/>
          </w:tcPr>
          <w:p w14:paraId="139469F1">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内容及评分标准</w:t>
            </w:r>
          </w:p>
        </w:tc>
      </w:tr>
      <w:tr w14:paraId="5ACE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753" w:type="dxa"/>
            <w:vMerge w:val="restart"/>
            <w:vAlign w:val="center"/>
          </w:tcPr>
          <w:p w14:paraId="0740FF3B">
            <w:pPr>
              <w:pStyle w:val="6"/>
              <w:keepNext w:val="0"/>
              <w:keepLines w:val="0"/>
              <w:pageBreakBefore w:val="0"/>
              <w:widowControl w:val="0"/>
              <w:kinsoku/>
              <w:wordWrap/>
              <w:overflowPunct/>
              <w:topLinePunct w:val="0"/>
              <w:bidi w:val="0"/>
              <w:adjustRightInd/>
              <w:snapToGrid/>
              <w:spacing w:before="1"/>
              <w:ind w:left="164" w:right="158"/>
              <w:rPr>
                <w:rFonts w:ascii="Times New Roman" w:hAnsi="Times New Roman"/>
                <w:color w:val="auto"/>
              </w:rPr>
            </w:pPr>
            <w:r>
              <w:rPr>
                <w:rFonts w:ascii="Times New Roman" w:hAnsi="Times New Roman"/>
                <w:color w:val="auto"/>
              </w:rPr>
              <w:t>基本情况</w:t>
            </w:r>
          </w:p>
        </w:tc>
        <w:tc>
          <w:tcPr>
            <w:tcW w:w="754" w:type="dxa"/>
            <w:vAlign w:val="center"/>
          </w:tcPr>
          <w:p w14:paraId="115C34DD">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学历</w:t>
            </w:r>
          </w:p>
          <w:p w14:paraId="729D3A4A">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层次</w:t>
            </w:r>
          </w:p>
        </w:tc>
        <w:tc>
          <w:tcPr>
            <w:tcW w:w="9011" w:type="dxa"/>
            <w:vAlign w:val="center"/>
          </w:tcPr>
          <w:p w14:paraId="342BC937">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1.博士研究生（1</w:t>
            </w:r>
            <w:r>
              <w:rPr>
                <w:rFonts w:hint="eastAsia" w:ascii="Times New Roman" w:hAnsi="Times New Roman"/>
                <w:color w:val="auto"/>
              </w:rPr>
              <w:t>0</w:t>
            </w:r>
            <w:r>
              <w:rPr>
                <w:rFonts w:ascii="Times New Roman" w:hAnsi="Times New Roman"/>
                <w:color w:val="auto"/>
              </w:rPr>
              <w:t>分）</w:t>
            </w:r>
          </w:p>
          <w:p w14:paraId="25D883EF">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2.硕士研究生，全日制或非全日制双证（6分）</w:t>
            </w:r>
          </w:p>
          <w:p w14:paraId="55050A59">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3.硕士学位单证，非全日制（5分）</w:t>
            </w:r>
          </w:p>
          <w:p w14:paraId="093696CE">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4.本科（4分）</w:t>
            </w:r>
          </w:p>
        </w:tc>
      </w:tr>
      <w:tr w14:paraId="7CFE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3" w:type="dxa"/>
            <w:vMerge w:val="continue"/>
            <w:tcBorders>
              <w:top w:val="nil"/>
            </w:tcBorders>
            <w:vAlign w:val="center"/>
          </w:tcPr>
          <w:p w14:paraId="71440B2F">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141D569B">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任职</w:t>
            </w:r>
          </w:p>
          <w:p w14:paraId="225EF661">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年限</w:t>
            </w:r>
          </w:p>
        </w:tc>
        <w:tc>
          <w:tcPr>
            <w:tcW w:w="9011" w:type="dxa"/>
            <w:vAlign w:val="center"/>
          </w:tcPr>
          <w:p w14:paraId="380BB6F4">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1.正常晋升人员任现职后每年计1分</w:t>
            </w:r>
          </w:p>
          <w:p w14:paraId="390D14E6">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2.转评后晋升人员，转评前任同级时间每年计0.8分，转评后任现职时间每年计1分</w:t>
            </w:r>
          </w:p>
          <w:p w14:paraId="520B1F4C">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3.同级转评人员低一级到本级时间每年计0.5分，本级到现在时间每年计1分</w:t>
            </w:r>
          </w:p>
          <w:p w14:paraId="5356058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备注：累计计分</w:t>
            </w:r>
            <w:r>
              <w:rPr>
                <w:rFonts w:hint="eastAsia" w:ascii="Times New Roman" w:hAnsi="Times New Roman" w:eastAsia="楷体"/>
                <w:color w:val="auto"/>
              </w:rPr>
              <w:t>，最高限10分</w:t>
            </w:r>
            <w:r>
              <w:rPr>
                <w:rFonts w:ascii="Times New Roman" w:hAnsi="Times New Roman" w:eastAsia="楷体"/>
                <w:color w:val="auto"/>
              </w:rPr>
              <w:t>。</w:t>
            </w:r>
          </w:p>
        </w:tc>
      </w:tr>
      <w:tr w14:paraId="0496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jc w:val="center"/>
        </w:trPr>
        <w:tc>
          <w:tcPr>
            <w:tcW w:w="753" w:type="dxa"/>
            <w:vMerge w:val="continue"/>
            <w:tcBorders>
              <w:top w:val="nil"/>
            </w:tcBorders>
            <w:vAlign w:val="center"/>
          </w:tcPr>
          <w:p w14:paraId="48409EE5">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1359D47F">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年度</w:t>
            </w:r>
          </w:p>
          <w:p w14:paraId="39607D3C">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考核</w:t>
            </w:r>
          </w:p>
        </w:tc>
        <w:tc>
          <w:tcPr>
            <w:tcW w:w="9011" w:type="dxa"/>
            <w:vAlign w:val="center"/>
          </w:tcPr>
          <w:p w14:paraId="034AA15F">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1.任期内3次优秀以上（</w:t>
            </w:r>
            <w:r>
              <w:rPr>
                <w:rFonts w:hint="eastAsia" w:ascii="Times New Roman" w:hAnsi="Times New Roman"/>
                <w:color w:val="auto"/>
              </w:rPr>
              <w:t>6</w:t>
            </w:r>
            <w:r>
              <w:rPr>
                <w:rFonts w:ascii="Times New Roman" w:hAnsi="Times New Roman"/>
                <w:color w:val="auto"/>
              </w:rPr>
              <w:t>分）</w:t>
            </w:r>
          </w:p>
          <w:p w14:paraId="178B955B">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2.任期内2次优秀（</w:t>
            </w:r>
            <w:r>
              <w:rPr>
                <w:rFonts w:hint="eastAsia" w:ascii="Times New Roman" w:hAnsi="Times New Roman"/>
                <w:color w:val="auto"/>
              </w:rPr>
              <w:t>4</w:t>
            </w:r>
            <w:r>
              <w:rPr>
                <w:rFonts w:ascii="Times New Roman" w:hAnsi="Times New Roman"/>
                <w:color w:val="auto"/>
              </w:rPr>
              <w:t>分）</w:t>
            </w:r>
          </w:p>
          <w:p w14:paraId="09FC6F16">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3.任期内1次优秀（</w:t>
            </w:r>
            <w:r>
              <w:rPr>
                <w:rFonts w:hint="eastAsia" w:ascii="Times New Roman" w:hAnsi="Times New Roman"/>
                <w:color w:val="auto"/>
              </w:rPr>
              <w:t>2</w:t>
            </w:r>
            <w:r>
              <w:rPr>
                <w:rFonts w:ascii="Times New Roman" w:hAnsi="Times New Roman"/>
                <w:color w:val="auto"/>
              </w:rPr>
              <w:t>分）</w:t>
            </w:r>
          </w:p>
        </w:tc>
      </w:tr>
      <w:tr w14:paraId="2086E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jc w:val="center"/>
        </w:trPr>
        <w:tc>
          <w:tcPr>
            <w:tcW w:w="753" w:type="dxa"/>
            <w:vMerge w:val="continue"/>
            <w:tcBorders>
              <w:top w:val="nil"/>
            </w:tcBorders>
            <w:vAlign w:val="center"/>
          </w:tcPr>
          <w:p w14:paraId="5834A672">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50513D98">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荣誉</w:t>
            </w:r>
          </w:p>
          <w:p w14:paraId="694CE87E">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称号</w:t>
            </w:r>
          </w:p>
        </w:tc>
        <w:tc>
          <w:tcPr>
            <w:tcW w:w="9011" w:type="dxa"/>
            <w:vAlign w:val="center"/>
          </w:tcPr>
          <w:p w14:paraId="51300E00">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1.国家级（</w:t>
            </w:r>
            <w:r>
              <w:rPr>
                <w:rFonts w:hint="eastAsia" w:ascii="Times New Roman" w:hAnsi="Times New Roman"/>
                <w:color w:val="auto"/>
              </w:rPr>
              <w:t>10</w:t>
            </w:r>
            <w:r>
              <w:rPr>
                <w:rFonts w:ascii="Times New Roman" w:hAnsi="Times New Roman"/>
                <w:color w:val="auto"/>
              </w:rPr>
              <w:t>分）</w:t>
            </w:r>
          </w:p>
          <w:p w14:paraId="1594B102">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2.省级（</w:t>
            </w:r>
            <w:r>
              <w:rPr>
                <w:rFonts w:hint="eastAsia" w:ascii="Times New Roman" w:hAnsi="Times New Roman"/>
                <w:color w:val="auto"/>
              </w:rPr>
              <w:t>6</w:t>
            </w:r>
            <w:r>
              <w:rPr>
                <w:rFonts w:ascii="Times New Roman" w:hAnsi="Times New Roman"/>
                <w:color w:val="auto"/>
              </w:rPr>
              <w:t>分）</w:t>
            </w:r>
          </w:p>
          <w:p w14:paraId="35988AC3">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3.市级（</w:t>
            </w:r>
            <w:r>
              <w:rPr>
                <w:rFonts w:ascii="Times New Roman" w:hAnsi="Times New Roman" w:eastAsia="Times New Roman"/>
                <w:color w:val="auto"/>
              </w:rPr>
              <w:t>3</w:t>
            </w:r>
            <w:r>
              <w:rPr>
                <w:rFonts w:ascii="Times New Roman" w:hAnsi="Times New Roman"/>
                <w:color w:val="auto"/>
              </w:rPr>
              <w:t>分）</w:t>
            </w:r>
          </w:p>
          <w:p w14:paraId="5AD4B8D6">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4.院级（</w:t>
            </w:r>
            <w:r>
              <w:rPr>
                <w:rFonts w:ascii="Times New Roman" w:hAnsi="Times New Roman" w:eastAsia="Times New Roman"/>
                <w:color w:val="auto"/>
              </w:rPr>
              <w:t>1</w:t>
            </w:r>
            <w:r>
              <w:rPr>
                <w:rFonts w:ascii="Times New Roman" w:hAnsi="Times New Roman"/>
                <w:color w:val="auto"/>
              </w:rPr>
              <w:t>分）</w:t>
            </w:r>
          </w:p>
          <w:p w14:paraId="1960B17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64AA035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1.累计计分，最高限2项</w:t>
            </w:r>
            <w:r>
              <w:rPr>
                <w:rFonts w:hint="eastAsia" w:ascii="Times New Roman" w:hAnsi="Times New Roman" w:eastAsia="楷体"/>
                <w:color w:val="auto"/>
              </w:rPr>
              <w:t>；</w:t>
            </w:r>
          </w:p>
          <w:p w14:paraId="55B51C1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2.认定标准以附录1为准</w:t>
            </w:r>
            <w:r>
              <w:rPr>
                <w:rFonts w:hint="eastAsia" w:ascii="Times New Roman" w:hAnsi="Times New Roman" w:eastAsia="楷体"/>
                <w:color w:val="auto"/>
              </w:rPr>
              <w:t>；</w:t>
            </w:r>
          </w:p>
          <w:p w14:paraId="2F980B37">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3.不同级别的同一荣誉称号不重复计分</w:t>
            </w:r>
            <w:r>
              <w:rPr>
                <w:rFonts w:hint="eastAsia" w:ascii="Times New Roman" w:hAnsi="Times New Roman" w:eastAsia="楷体"/>
                <w:color w:val="auto"/>
              </w:rPr>
              <w:t>，取最高计</w:t>
            </w:r>
            <w:r>
              <w:rPr>
                <w:rFonts w:ascii="Times New Roman" w:hAnsi="Times New Roman" w:eastAsia="楷体"/>
                <w:color w:val="auto"/>
              </w:rPr>
              <w:t>。</w:t>
            </w:r>
          </w:p>
        </w:tc>
      </w:tr>
      <w:tr w14:paraId="3C31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jc w:val="center"/>
        </w:trPr>
        <w:tc>
          <w:tcPr>
            <w:tcW w:w="753" w:type="dxa"/>
            <w:vMerge w:val="restart"/>
            <w:vAlign w:val="center"/>
          </w:tcPr>
          <w:p w14:paraId="714BD9C9">
            <w:pPr>
              <w:pStyle w:val="6"/>
              <w:keepNext w:val="0"/>
              <w:keepLines w:val="0"/>
              <w:pageBreakBefore w:val="0"/>
              <w:widowControl w:val="0"/>
              <w:kinsoku/>
              <w:wordWrap/>
              <w:overflowPunct/>
              <w:topLinePunct w:val="0"/>
              <w:bidi w:val="0"/>
              <w:adjustRightInd/>
              <w:snapToGrid/>
              <w:ind w:left="164" w:right="158"/>
              <w:rPr>
                <w:rFonts w:ascii="Times New Roman" w:hAnsi="Times New Roman"/>
                <w:color w:val="auto"/>
              </w:rPr>
            </w:pPr>
            <w:r>
              <w:rPr>
                <w:rFonts w:ascii="Times New Roman" w:hAnsi="Times New Roman"/>
                <w:color w:val="auto"/>
              </w:rPr>
              <w:t>教学工作业绩</w:t>
            </w:r>
          </w:p>
        </w:tc>
        <w:tc>
          <w:tcPr>
            <w:tcW w:w="754" w:type="dxa"/>
            <w:vAlign w:val="center"/>
          </w:tcPr>
          <w:p w14:paraId="6D3848DA">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教学</w:t>
            </w:r>
          </w:p>
          <w:p w14:paraId="726075C7">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工作量</w:t>
            </w:r>
          </w:p>
        </w:tc>
        <w:tc>
          <w:tcPr>
            <w:tcW w:w="9011" w:type="dxa"/>
            <w:vAlign w:val="center"/>
          </w:tcPr>
          <w:p w14:paraId="47ADDC12">
            <w:pPr>
              <w:pStyle w:val="6"/>
              <w:keepNext w:val="0"/>
              <w:keepLines w:val="0"/>
              <w:pageBreakBefore w:val="0"/>
              <w:widowControl w:val="0"/>
              <w:shd w:val="clear"/>
              <w:tabs>
                <w:tab w:val="left" w:pos="790"/>
              </w:tabs>
              <w:kinsoku/>
              <w:wordWrap/>
              <w:overflowPunct/>
              <w:topLinePunct w:val="0"/>
              <w:autoSpaceDE w:val="0"/>
              <w:autoSpaceDN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计分基本条件：</w:t>
            </w:r>
          </w:p>
          <w:p w14:paraId="17EFDA90">
            <w:pPr>
              <w:pStyle w:val="6"/>
              <w:keepNext w:val="0"/>
              <w:keepLines w:val="0"/>
              <w:pageBreakBefore w:val="0"/>
              <w:widowControl w:val="0"/>
              <w:shd w:val="clear"/>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1.申报教授、副教授须</w:t>
            </w:r>
            <w:r>
              <w:rPr>
                <w:rFonts w:ascii="Times New Roman" w:hAnsi="Times New Roman"/>
                <w:color w:val="auto"/>
              </w:rPr>
              <w:t>系统承担过2门以上课程的全部讲授工作，其中1门为必修课程</w:t>
            </w:r>
            <w:r>
              <w:rPr>
                <w:rFonts w:hint="eastAsia" w:ascii="Times New Roman" w:hAnsi="Times New Roman"/>
                <w:color w:val="auto"/>
              </w:rPr>
              <w:t>；申报讲师须</w:t>
            </w:r>
            <w:r>
              <w:rPr>
                <w:rFonts w:ascii="Times New Roman" w:hAnsi="Times New Roman"/>
                <w:color w:val="auto"/>
              </w:rPr>
              <w:t>系统承担过</w:t>
            </w:r>
            <w:r>
              <w:rPr>
                <w:rFonts w:hint="eastAsia" w:ascii="Times New Roman" w:hAnsi="Times New Roman"/>
                <w:color w:val="auto"/>
              </w:rPr>
              <w:t>1</w:t>
            </w:r>
            <w:r>
              <w:rPr>
                <w:rFonts w:ascii="Times New Roman" w:hAnsi="Times New Roman"/>
                <w:color w:val="auto"/>
              </w:rPr>
              <w:t>门以上课程的全部讲授工作</w:t>
            </w:r>
            <w:r>
              <w:rPr>
                <w:rFonts w:hint="eastAsia" w:ascii="Times New Roman" w:hAnsi="Times New Roman"/>
                <w:color w:val="auto"/>
              </w:rPr>
              <w:t>；</w:t>
            </w:r>
          </w:p>
          <w:p w14:paraId="297CA0AF">
            <w:pPr>
              <w:pStyle w:val="6"/>
              <w:keepNext w:val="0"/>
              <w:keepLines w:val="0"/>
              <w:pageBreakBefore w:val="0"/>
              <w:widowControl w:val="0"/>
              <w:shd w:val="clear"/>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2.专任教师年均工作量须达到</w:t>
            </w:r>
            <w:r>
              <w:rPr>
                <w:rFonts w:ascii="Times New Roman" w:hAnsi="Times New Roman"/>
                <w:color w:val="auto"/>
                <w:shd w:val="clear" w:color="auto"/>
              </w:rPr>
              <w:t>192</w:t>
            </w:r>
            <w:r>
              <w:rPr>
                <w:rFonts w:hint="eastAsia" w:ascii="Times New Roman" w:hAnsi="Times New Roman"/>
                <w:color w:val="auto"/>
              </w:rPr>
              <w:t>课时，双肩挑教师年均工作量须达到</w:t>
            </w:r>
            <w:r>
              <w:rPr>
                <w:rFonts w:hint="eastAsia" w:ascii="Times New Roman" w:hAnsi="Times New Roman"/>
                <w:color w:val="auto"/>
                <w:shd w:val="clear" w:color="auto"/>
              </w:rPr>
              <w:t>32</w:t>
            </w:r>
            <w:r>
              <w:rPr>
                <w:rFonts w:hint="eastAsia" w:ascii="Times New Roman" w:hAnsi="Times New Roman"/>
                <w:color w:val="auto"/>
              </w:rPr>
              <w:t>课时。</w:t>
            </w:r>
          </w:p>
          <w:p w14:paraId="134815CF">
            <w:pPr>
              <w:pStyle w:val="6"/>
              <w:keepNext w:val="0"/>
              <w:keepLines w:val="0"/>
              <w:pageBreakBefore w:val="0"/>
              <w:widowControl w:val="0"/>
              <w:shd w:val="clear"/>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在满足基本条件的基础上，按以下标准计分：</w:t>
            </w:r>
          </w:p>
          <w:p w14:paraId="05D1F94C">
            <w:pPr>
              <w:pStyle w:val="6"/>
              <w:keepNext w:val="0"/>
              <w:keepLines w:val="0"/>
              <w:pageBreakBefore w:val="0"/>
              <w:widowControl w:val="0"/>
              <w:shd w:val="clear"/>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1.专任教师近5年年均1-2门课程（专业课教师年均2门课程，公共基础课教师年均1门课程）且课时量达到</w:t>
            </w:r>
            <w:r>
              <w:rPr>
                <w:rFonts w:ascii="Times New Roman" w:hAnsi="Times New Roman"/>
                <w:color w:val="auto"/>
                <w:shd w:val="clear" w:color="auto"/>
              </w:rPr>
              <w:t>360</w:t>
            </w:r>
            <w:r>
              <w:rPr>
                <w:rFonts w:ascii="Times New Roman" w:hAnsi="Times New Roman"/>
                <w:color w:val="auto"/>
              </w:rPr>
              <w:t>课时以上；双肩挑教师年均1门课程</w:t>
            </w:r>
            <w:r>
              <w:rPr>
                <w:rFonts w:hint="eastAsia" w:ascii="Times New Roman" w:hAnsi="Times New Roman"/>
                <w:color w:val="auto"/>
              </w:rPr>
              <w:t>，</w:t>
            </w:r>
            <w:r>
              <w:rPr>
                <w:rFonts w:ascii="Times New Roman" w:hAnsi="Times New Roman"/>
                <w:color w:val="auto"/>
              </w:rPr>
              <w:t>近5年年均课时量达到</w:t>
            </w:r>
            <w:r>
              <w:rPr>
                <w:rFonts w:ascii="Times New Roman" w:hAnsi="Times New Roman"/>
                <w:color w:val="auto"/>
                <w:shd w:val="clear" w:color="auto"/>
              </w:rPr>
              <w:t>64</w:t>
            </w:r>
            <w:r>
              <w:rPr>
                <w:rFonts w:ascii="Times New Roman" w:hAnsi="Times New Roman"/>
                <w:color w:val="auto"/>
              </w:rPr>
              <w:t>课时以上。（</w:t>
            </w:r>
            <w:r>
              <w:rPr>
                <w:rFonts w:hint="eastAsia" w:ascii="Times New Roman" w:hAnsi="Times New Roman"/>
                <w:color w:val="auto"/>
              </w:rPr>
              <w:t>6</w:t>
            </w:r>
            <w:r>
              <w:rPr>
                <w:rFonts w:ascii="Times New Roman" w:hAnsi="Times New Roman"/>
                <w:color w:val="auto"/>
              </w:rPr>
              <w:t>分）</w:t>
            </w:r>
          </w:p>
          <w:p w14:paraId="0D508A9D">
            <w:pPr>
              <w:pStyle w:val="6"/>
              <w:keepNext w:val="0"/>
              <w:keepLines w:val="0"/>
              <w:pageBreakBefore w:val="0"/>
              <w:widowControl w:val="0"/>
              <w:shd w:val="clear"/>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2.专任教师近5年年均1门课程且课时量达到</w:t>
            </w:r>
            <w:r>
              <w:rPr>
                <w:rFonts w:ascii="Times New Roman" w:hAnsi="Times New Roman"/>
                <w:color w:val="auto"/>
                <w:shd w:val="clear" w:color="auto"/>
              </w:rPr>
              <w:t>192</w:t>
            </w:r>
            <w:r>
              <w:rPr>
                <w:rFonts w:ascii="Times New Roman" w:hAnsi="Times New Roman"/>
                <w:color w:val="auto"/>
              </w:rPr>
              <w:t>课时以上；双肩挑教师近5年年均课时量</w:t>
            </w:r>
            <w:r>
              <w:rPr>
                <w:rFonts w:ascii="Times New Roman" w:hAnsi="Times New Roman"/>
                <w:color w:val="auto"/>
                <w:shd w:val="clear" w:color="auto"/>
              </w:rPr>
              <w:t>32</w:t>
            </w:r>
            <w:r>
              <w:rPr>
                <w:rFonts w:ascii="Times New Roman" w:hAnsi="Times New Roman"/>
                <w:color w:val="auto"/>
              </w:rPr>
              <w:t>课时以上。（</w:t>
            </w:r>
            <w:r>
              <w:rPr>
                <w:rFonts w:hint="eastAsia" w:ascii="Times New Roman" w:hAnsi="Times New Roman"/>
                <w:color w:val="auto"/>
              </w:rPr>
              <w:t>2</w:t>
            </w:r>
            <w:r>
              <w:rPr>
                <w:rFonts w:ascii="Times New Roman" w:hAnsi="Times New Roman"/>
                <w:color w:val="auto"/>
              </w:rPr>
              <w:t>分）</w:t>
            </w:r>
          </w:p>
          <w:p w14:paraId="0D88EE0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793A4DE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eastAsia="楷体"/>
                <w:color w:val="auto"/>
              </w:rPr>
            </w:pPr>
            <w:r>
              <w:rPr>
                <w:rFonts w:hint="eastAsia" w:ascii="Times New Roman" w:hAnsi="Times New Roman" w:eastAsia="楷体"/>
                <w:color w:val="auto"/>
              </w:rPr>
              <w:t>1.教学工作量以学年为周期计算；</w:t>
            </w:r>
          </w:p>
          <w:p w14:paraId="629F153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lang w:val="en-US" w:eastAsia="zh-CN"/>
              </w:rPr>
              <w:t>2</w:t>
            </w:r>
            <w:r>
              <w:rPr>
                <w:rFonts w:hint="eastAsia" w:ascii="Times New Roman" w:hAnsi="Times New Roman" w:eastAsia="楷体"/>
                <w:color w:val="auto"/>
              </w:rPr>
              <w:t>.</w:t>
            </w:r>
            <w:r>
              <w:rPr>
                <w:rFonts w:ascii="Times New Roman" w:hAnsi="Times New Roman" w:eastAsia="楷体"/>
                <w:color w:val="auto"/>
              </w:rPr>
              <w:t>“一门课程”是指完整承担过列入人才培养方案中的一门课程的计划、讲授、考核、成绩登录等环节</w:t>
            </w:r>
            <w:r>
              <w:rPr>
                <w:rFonts w:hint="eastAsia" w:ascii="Times New Roman" w:hAnsi="Times New Roman" w:eastAsia="楷体"/>
                <w:color w:val="auto"/>
              </w:rPr>
              <w:t>，</w:t>
            </w:r>
            <w:r>
              <w:rPr>
                <w:rFonts w:ascii="Times New Roman" w:hAnsi="Times New Roman" w:eastAsia="楷体"/>
                <w:color w:val="auto"/>
              </w:rPr>
              <w:t>其中，指导学生各类实习、毕业设计不计入课程门数</w:t>
            </w:r>
            <w:r>
              <w:rPr>
                <w:rFonts w:hint="eastAsia" w:ascii="Times New Roman" w:hAnsi="Times New Roman" w:eastAsia="楷体"/>
                <w:color w:val="auto"/>
              </w:rPr>
              <w:t>；</w:t>
            </w:r>
          </w:p>
          <w:p w14:paraId="30B83DF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lang w:val="en-US" w:eastAsia="zh-CN"/>
              </w:rPr>
              <w:t>3.</w:t>
            </w:r>
            <w:r>
              <w:rPr>
                <w:rFonts w:ascii="Times New Roman" w:hAnsi="Times New Roman" w:eastAsia="楷体"/>
                <w:color w:val="auto"/>
              </w:rPr>
              <w:t>同一学期承担重复课按一门课程计</w:t>
            </w:r>
            <w:r>
              <w:rPr>
                <w:rFonts w:hint="eastAsia" w:ascii="Times New Roman" w:hAnsi="Times New Roman" w:eastAsia="楷体"/>
                <w:color w:val="auto"/>
              </w:rPr>
              <w:t>，</w:t>
            </w:r>
            <w:r>
              <w:rPr>
                <w:rFonts w:ascii="Times New Roman" w:hAnsi="Times New Roman" w:eastAsia="楷体"/>
                <w:color w:val="auto"/>
              </w:rPr>
              <w:t>同一课程在不同学期多次讲授为一门课程。</w:t>
            </w:r>
          </w:p>
        </w:tc>
      </w:tr>
      <w:tr w14:paraId="2C81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753" w:type="dxa"/>
            <w:vMerge w:val="continue"/>
            <w:vAlign w:val="center"/>
          </w:tcPr>
          <w:p w14:paraId="3047581B">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696CD386">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教学质量评估</w:t>
            </w:r>
          </w:p>
        </w:tc>
        <w:tc>
          <w:tcPr>
            <w:tcW w:w="9011" w:type="dxa"/>
            <w:vAlign w:val="center"/>
          </w:tcPr>
          <w:p w14:paraId="45B7B94F">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1.任期内3次优秀以上（6分）</w:t>
            </w:r>
          </w:p>
          <w:p w14:paraId="5FC7D44F">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2.任期内2次优秀（4分）</w:t>
            </w:r>
          </w:p>
          <w:p w14:paraId="703345DC">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3.任期内1次优秀（2分）</w:t>
            </w:r>
          </w:p>
          <w:p w14:paraId="2F8E4A3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eastAsia="楷体"/>
                <w:color w:val="auto"/>
              </w:rPr>
              <w:t>备注：</w:t>
            </w:r>
            <w:r>
              <w:rPr>
                <w:rFonts w:hint="eastAsia" w:ascii="Times New Roman" w:hAnsi="Times New Roman" w:eastAsia="楷体"/>
                <w:color w:val="auto"/>
              </w:rPr>
              <w:t>在学院未出台教学质量评估评价体系前，本项目不计分，教学质量评估优秀只作为参评基本条件使用</w:t>
            </w:r>
            <w:r>
              <w:rPr>
                <w:rFonts w:ascii="Times New Roman" w:hAnsi="Times New Roman" w:eastAsia="楷体"/>
                <w:color w:val="auto"/>
              </w:rPr>
              <w:t>。</w:t>
            </w:r>
          </w:p>
        </w:tc>
      </w:tr>
      <w:tr w14:paraId="2AE9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3" w:type="dxa"/>
            <w:vMerge w:val="continue"/>
            <w:vAlign w:val="center"/>
          </w:tcPr>
          <w:p w14:paraId="4873D9AB">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3E7671BB">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课程</w:t>
            </w:r>
          </w:p>
          <w:p w14:paraId="75B3F1F0">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建设</w:t>
            </w:r>
          </w:p>
        </w:tc>
        <w:tc>
          <w:tcPr>
            <w:tcW w:w="9011" w:type="dxa"/>
            <w:vAlign w:val="center"/>
          </w:tcPr>
          <w:p w14:paraId="64BFDC0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1.国家级：主持人（</w:t>
            </w:r>
            <w:r>
              <w:rPr>
                <w:rFonts w:hint="eastAsia" w:ascii="Times New Roman" w:hAnsi="Times New Roman"/>
                <w:color w:val="auto"/>
              </w:rPr>
              <w:t>30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18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-10名（</w:t>
            </w:r>
            <w:r>
              <w:rPr>
                <w:rFonts w:hint="eastAsia" w:ascii="Times New Roman" w:hAnsi="Times New Roman"/>
                <w:color w:val="auto"/>
              </w:rPr>
              <w:t>6</w:t>
            </w:r>
            <w:r>
              <w:rPr>
                <w:rFonts w:ascii="Times New Roman" w:hAnsi="Times New Roman"/>
                <w:color w:val="auto"/>
              </w:rPr>
              <w:t>分）</w:t>
            </w:r>
          </w:p>
          <w:p w14:paraId="3770822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2.省级：主持人（</w:t>
            </w:r>
            <w:r>
              <w:rPr>
                <w:rFonts w:hint="eastAsia" w:ascii="Times New Roman" w:hAnsi="Times New Roman"/>
                <w:color w:val="auto"/>
              </w:rPr>
              <w:t>10</w:t>
            </w:r>
            <w:r>
              <w:rPr>
                <w:rFonts w:ascii="Times New Roman" w:hAnsi="Times New Roman"/>
                <w:color w:val="auto"/>
              </w:rPr>
              <w:t>分），第2-3名（</w:t>
            </w:r>
            <w:r>
              <w:rPr>
                <w:rFonts w:hint="eastAsia" w:ascii="Times New Roman" w:hAnsi="Times New Roman"/>
                <w:color w:val="auto"/>
              </w:rPr>
              <w:t>6</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8</w:t>
            </w:r>
            <w:r>
              <w:rPr>
                <w:rFonts w:ascii="Times New Roman" w:hAnsi="Times New Roman"/>
                <w:color w:val="auto"/>
              </w:rPr>
              <w:t>名（</w:t>
            </w:r>
            <w:r>
              <w:rPr>
                <w:rFonts w:hint="eastAsia" w:ascii="Times New Roman" w:hAnsi="Times New Roman"/>
                <w:color w:val="auto"/>
              </w:rPr>
              <w:t>2</w:t>
            </w:r>
            <w:r>
              <w:rPr>
                <w:rFonts w:ascii="Times New Roman" w:hAnsi="Times New Roman"/>
                <w:color w:val="auto"/>
              </w:rPr>
              <w:t>分）</w:t>
            </w:r>
          </w:p>
          <w:p w14:paraId="0F12C0D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w:t>
            </w:r>
            <w:r>
              <w:rPr>
                <w:rFonts w:hint="eastAsia" w:ascii="Times New Roman" w:hAnsi="Times New Roman"/>
                <w:color w:val="auto"/>
              </w:rPr>
              <w:t>市</w:t>
            </w:r>
            <w:r>
              <w:rPr>
                <w:rFonts w:ascii="Times New Roman" w:hAnsi="Times New Roman"/>
                <w:color w:val="auto"/>
              </w:rPr>
              <w:t>级：主持人（4分），第2-3名（2.4分），第4-</w:t>
            </w:r>
            <w:r>
              <w:rPr>
                <w:rFonts w:hint="eastAsia" w:ascii="Times New Roman" w:hAnsi="Times New Roman"/>
                <w:color w:val="auto"/>
              </w:rPr>
              <w:t>6</w:t>
            </w:r>
            <w:r>
              <w:rPr>
                <w:rFonts w:ascii="Times New Roman" w:hAnsi="Times New Roman"/>
                <w:color w:val="auto"/>
              </w:rPr>
              <w:t>名（1.6分）</w:t>
            </w:r>
          </w:p>
          <w:p w14:paraId="0294353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color w:val="auto"/>
              </w:rPr>
            </w:pPr>
            <w:r>
              <w:rPr>
                <w:rFonts w:ascii="Times New Roman" w:hAnsi="Times New Roman"/>
                <w:color w:val="auto"/>
              </w:rPr>
              <w:t>4.院级：主持人（</w:t>
            </w:r>
            <w:r>
              <w:rPr>
                <w:rFonts w:hint="eastAsia" w:ascii="Times New Roman" w:hAnsi="Times New Roman"/>
                <w:color w:val="auto"/>
              </w:rPr>
              <w:t>2</w:t>
            </w:r>
            <w:r>
              <w:rPr>
                <w:rFonts w:ascii="Times New Roman" w:hAnsi="Times New Roman"/>
                <w:color w:val="auto"/>
              </w:rPr>
              <w:t>分），第2-3名（</w:t>
            </w:r>
            <w:r>
              <w:rPr>
                <w:rFonts w:hint="eastAsia" w:ascii="Times New Roman" w:hAnsi="Times New Roman"/>
                <w:color w:val="auto"/>
              </w:rPr>
              <w:t>1.2</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0.8</w:t>
            </w:r>
            <w:r>
              <w:rPr>
                <w:rFonts w:ascii="Times New Roman" w:hAnsi="Times New Roman"/>
                <w:color w:val="auto"/>
              </w:rPr>
              <w:t>分）</w:t>
            </w:r>
          </w:p>
          <w:p w14:paraId="1FFE3EC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6AF27197">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1.累计计分，最高限3项，不同级别</w:t>
            </w:r>
            <w:r>
              <w:rPr>
                <w:rFonts w:hint="eastAsia" w:ascii="Times New Roman" w:hAnsi="Times New Roman" w:eastAsia="楷体"/>
                <w:color w:val="auto"/>
              </w:rPr>
              <w:t>的</w:t>
            </w:r>
            <w:r>
              <w:rPr>
                <w:rFonts w:ascii="Times New Roman" w:hAnsi="Times New Roman" w:eastAsia="楷体"/>
                <w:color w:val="auto"/>
              </w:rPr>
              <w:t>同一课程按最高级别计</w:t>
            </w:r>
            <w:r>
              <w:rPr>
                <w:rFonts w:hint="eastAsia" w:ascii="Times New Roman" w:hAnsi="Times New Roman" w:eastAsia="楷体"/>
                <w:color w:val="auto"/>
              </w:rPr>
              <w:t>分；</w:t>
            </w:r>
          </w:p>
          <w:p w14:paraId="7705EEFD">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w:t>
            </w:r>
            <w:r>
              <w:rPr>
                <w:rFonts w:hint="eastAsia" w:ascii="Times New Roman" w:hAnsi="Times New Roman" w:eastAsia="楷体"/>
                <w:color w:val="auto"/>
              </w:rPr>
              <w:t>.</w:t>
            </w:r>
            <w:r>
              <w:rPr>
                <w:rFonts w:ascii="Times New Roman" w:hAnsi="Times New Roman" w:eastAsia="楷体"/>
                <w:color w:val="auto"/>
              </w:rPr>
              <w:t>课程内容应与申报专业相关</w:t>
            </w:r>
            <w:r>
              <w:rPr>
                <w:rFonts w:hint="eastAsia" w:ascii="Times New Roman" w:hAnsi="Times New Roman" w:eastAsia="楷体"/>
                <w:color w:val="auto"/>
              </w:rPr>
              <w:t>；</w:t>
            </w:r>
          </w:p>
          <w:p w14:paraId="5CC8AA84">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3</w:t>
            </w:r>
            <w:r>
              <w:rPr>
                <w:rFonts w:hint="eastAsia" w:ascii="Times New Roman" w:hAnsi="Times New Roman" w:eastAsia="楷体"/>
                <w:color w:val="auto"/>
              </w:rPr>
              <w:t>.</w:t>
            </w:r>
            <w:r>
              <w:rPr>
                <w:rFonts w:ascii="Times New Roman" w:hAnsi="Times New Roman" w:eastAsia="楷体"/>
                <w:color w:val="auto"/>
              </w:rPr>
              <w:t>课程建设包含</w:t>
            </w:r>
            <w:r>
              <w:rPr>
                <w:rFonts w:hint="eastAsia" w:ascii="Times New Roman" w:hAnsi="Times New Roman" w:eastAsia="楷体"/>
                <w:color w:val="auto"/>
              </w:rPr>
              <w:t>教学部门组织评选和申报的</w:t>
            </w:r>
            <w:r>
              <w:rPr>
                <w:rFonts w:ascii="Times New Roman" w:hAnsi="Times New Roman" w:eastAsia="楷体"/>
                <w:color w:val="auto"/>
              </w:rPr>
              <w:t>精品课、精品资源共享课、课程思政示范课</w:t>
            </w:r>
            <w:r>
              <w:rPr>
                <w:rFonts w:hint="eastAsia" w:ascii="Times New Roman" w:hAnsi="Times New Roman" w:eastAsia="楷体"/>
                <w:color w:val="auto"/>
              </w:rPr>
              <w:t>、精品在线开放课程、在线精品课程；</w:t>
            </w:r>
          </w:p>
          <w:p w14:paraId="46AE8FE6">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4</w:t>
            </w:r>
            <w:r>
              <w:rPr>
                <w:rFonts w:hint="eastAsia" w:ascii="Times New Roman" w:hAnsi="Times New Roman" w:eastAsia="楷体"/>
                <w:color w:val="auto"/>
              </w:rPr>
              <w:t>.</w:t>
            </w:r>
            <w:r>
              <w:rPr>
                <w:rFonts w:ascii="Times New Roman" w:hAnsi="Times New Roman" w:eastAsia="楷体"/>
                <w:color w:val="auto"/>
              </w:rPr>
              <w:t>本项目</w:t>
            </w:r>
            <w:r>
              <w:rPr>
                <w:rFonts w:hint="eastAsia" w:ascii="Times New Roman" w:hAnsi="Times New Roman" w:eastAsia="楷体"/>
                <w:color w:val="auto"/>
              </w:rPr>
              <w:t>计分业绩</w:t>
            </w:r>
            <w:r>
              <w:rPr>
                <w:rFonts w:ascii="Times New Roman" w:hAnsi="Times New Roman" w:eastAsia="楷体"/>
                <w:color w:val="auto"/>
              </w:rPr>
              <w:t>如与专项建设中</w:t>
            </w:r>
            <w:r>
              <w:rPr>
                <w:rFonts w:hint="eastAsia" w:ascii="Times New Roman" w:hAnsi="Times New Roman" w:eastAsia="楷体"/>
                <w:color w:val="auto"/>
              </w:rPr>
              <w:t>计分</w:t>
            </w:r>
            <w:r>
              <w:rPr>
                <w:rFonts w:ascii="Times New Roman" w:hAnsi="Times New Roman" w:eastAsia="楷体"/>
                <w:color w:val="auto"/>
              </w:rPr>
              <w:t>项目名称相同，只</w:t>
            </w:r>
            <w:r>
              <w:rPr>
                <w:rFonts w:hint="eastAsia" w:ascii="Times New Roman" w:hAnsi="Times New Roman" w:eastAsia="楷体"/>
                <w:color w:val="auto"/>
              </w:rPr>
              <w:t>计</w:t>
            </w:r>
            <w:r>
              <w:rPr>
                <w:rFonts w:ascii="Times New Roman" w:hAnsi="Times New Roman" w:eastAsia="楷体"/>
                <w:color w:val="auto"/>
              </w:rPr>
              <w:t>1次，取高</w:t>
            </w:r>
            <w:r>
              <w:rPr>
                <w:rFonts w:hint="eastAsia" w:ascii="Times New Roman" w:hAnsi="Times New Roman" w:eastAsia="楷体"/>
                <w:color w:val="auto"/>
              </w:rPr>
              <w:t>分计；</w:t>
            </w:r>
          </w:p>
          <w:p w14:paraId="22C8721A">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w:t>
            </w:r>
            <w:r>
              <w:rPr>
                <w:rFonts w:ascii="Times New Roman" w:hAnsi="Times New Roman" w:eastAsia="楷体"/>
                <w:color w:val="auto"/>
              </w:rPr>
              <w:t>.</w:t>
            </w:r>
            <w:r>
              <w:rPr>
                <w:rFonts w:hint="eastAsia" w:ascii="Times New Roman" w:hAnsi="Times New Roman" w:eastAsia="楷体"/>
                <w:color w:val="auto"/>
              </w:rPr>
              <w:t>有建设期要求的课程，</w:t>
            </w:r>
            <w:r>
              <w:rPr>
                <w:rFonts w:ascii="Times New Roman" w:hAnsi="Times New Roman" w:eastAsia="楷体"/>
                <w:color w:val="auto"/>
              </w:rPr>
              <w:t>验收通过</w:t>
            </w:r>
            <w:r>
              <w:rPr>
                <w:rFonts w:hint="eastAsia" w:ascii="Times New Roman" w:hAnsi="Times New Roman" w:eastAsia="楷体"/>
                <w:color w:val="auto"/>
              </w:rPr>
              <w:t>后方可计分；</w:t>
            </w:r>
          </w:p>
          <w:p w14:paraId="1E29B66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6.</w:t>
            </w:r>
            <w:r>
              <w:rPr>
                <w:rFonts w:ascii="Times New Roman" w:hAnsi="Times New Roman" w:eastAsia="楷体"/>
                <w:color w:val="auto"/>
              </w:rPr>
              <w:t>主持</w:t>
            </w:r>
            <w:r>
              <w:rPr>
                <w:rFonts w:hint="eastAsia" w:ascii="Times New Roman" w:hAnsi="Times New Roman" w:eastAsia="楷体"/>
                <w:color w:val="auto"/>
              </w:rPr>
              <w:t>人为</w:t>
            </w:r>
            <w:r>
              <w:rPr>
                <w:rFonts w:ascii="Times New Roman" w:hAnsi="Times New Roman" w:eastAsia="楷体"/>
                <w:color w:val="auto"/>
              </w:rPr>
              <w:t>外单位的，本校教师降档</w:t>
            </w:r>
            <w:r>
              <w:rPr>
                <w:rFonts w:hint="eastAsia" w:ascii="Times New Roman" w:hAnsi="Times New Roman" w:eastAsia="楷体"/>
                <w:color w:val="auto"/>
              </w:rPr>
              <w:t>计分</w:t>
            </w:r>
            <w:r>
              <w:rPr>
                <w:rFonts w:ascii="Times New Roman" w:hAnsi="Times New Roman" w:eastAsia="楷体"/>
                <w:color w:val="auto"/>
              </w:rPr>
              <w:t>，即国家级</w:t>
            </w:r>
            <w:r>
              <w:rPr>
                <w:rFonts w:hint="eastAsia" w:ascii="Times New Roman" w:hAnsi="Times New Roman" w:eastAsia="楷体"/>
                <w:color w:val="auto"/>
              </w:rPr>
              <w:t>按</w:t>
            </w:r>
            <w:r>
              <w:rPr>
                <w:rFonts w:ascii="Times New Roman" w:hAnsi="Times New Roman" w:eastAsia="楷体"/>
                <w:color w:val="auto"/>
              </w:rPr>
              <w:t>省级</w:t>
            </w:r>
            <w:r>
              <w:rPr>
                <w:rFonts w:hint="eastAsia" w:ascii="Times New Roman" w:hAnsi="Times New Roman" w:eastAsia="楷体"/>
                <w:color w:val="auto"/>
              </w:rPr>
              <w:t>计分</w:t>
            </w:r>
            <w:r>
              <w:rPr>
                <w:rFonts w:ascii="Times New Roman" w:hAnsi="Times New Roman" w:eastAsia="楷体"/>
                <w:color w:val="auto"/>
              </w:rPr>
              <w:t>、省级</w:t>
            </w:r>
            <w:r>
              <w:rPr>
                <w:rFonts w:hint="eastAsia" w:ascii="Times New Roman" w:hAnsi="Times New Roman" w:eastAsia="楷体"/>
                <w:color w:val="auto"/>
              </w:rPr>
              <w:t>按</w:t>
            </w:r>
            <w:r>
              <w:rPr>
                <w:rFonts w:ascii="Times New Roman" w:hAnsi="Times New Roman" w:eastAsia="楷体"/>
                <w:color w:val="auto"/>
              </w:rPr>
              <w:t>院级</w:t>
            </w:r>
            <w:r>
              <w:rPr>
                <w:rFonts w:hint="eastAsia" w:ascii="Times New Roman" w:hAnsi="Times New Roman" w:eastAsia="楷体"/>
                <w:color w:val="auto"/>
              </w:rPr>
              <w:t>计分</w:t>
            </w:r>
            <w:r>
              <w:rPr>
                <w:rFonts w:ascii="Times New Roman" w:hAnsi="Times New Roman" w:eastAsia="楷体"/>
                <w:color w:val="auto"/>
              </w:rPr>
              <w:t>。</w:t>
            </w:r>
          </w:p>
        </w:tc>
      </w:tr>
      <w:tr w14:paraId="2D965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753" w:type="dxa"/>
            <w:vMerge w:val="continue"/>
            <w:vAlign w:val="center"/>
          </w:tcPr>
          <w:p w14:paraId="13632239">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648F5A50">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教学</w:t>
            </w:r>
          </w:p>
          <w:p w14:paraId="25CF088E">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团队</w:t>
            </w:r>
          </w:p>
          <w:p w14:paraId="54129E79">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建设</w:t>
            </w:r>
          </w:p>
        </w:tc>
        <w:tc>
          <w:tcPr>
            <w:tcW w:w="9011" w:type="dxa"/>
            <w:vAlign w:val="center"/>
          </w:tcPr>
          <w:p w14:paraId="7F1A589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1.国家级：主持人（</w:t>
            </w:r>
            <w:r>
              <w:rPr>
                <w:rFonts w:hint="eastAsia" w:ascii="Times New Roman" w:hAnsi="Times New Roman"/>
                <w:color w:val="auto"/>
              </w:rPr>
              <w:t>20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名（</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，第11-20名（2分）</w:t>
            </w:r>
          </w:p>
          <w:p w14:paraId="510E4B6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2.省级：主持人（</w:t>
            </w:r>
            <w:r>
              <w:rPr>
                <w:rFonts w:hint="eastAsia" w:ascii="Times New Roman" w:hAnsi="Times New Roman"/>
                <w:color w:val="auto"/>
              </w:rPr>
              <w:t>10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名（</w:t>
            </w:r>
            <w:r>
              <w:rPr>
                <w:rFonts w:hint="eastAsia" w:ascii="Times New Roman" w:hAnsi="Times New Roman"/>
                <w:color w:val="auto"/>
              </w:rPr>
              <w:t>2</w:t>
            </w:r>
            <w:r>
              <w:rPr>
                <w:rFonts w:ascii="Times New Roman" w:hAnsi="Times New Roman"/>
                <w:color w:val="auto"/>
              </w:rPr>
              <w:t>分）</w:t>
            </w:r>
            <w:r>
              <w:rPr>
                <w:rFonts w:hint="eastAsia" w:ascii="Times New Roman" w:hAnsi="Times New Roman"/>
                <w:color w:val="auto"/>
              </w:rPr>
              <w:t>，第11-20名（1分）</w:t>
            </w:r>
          </w:p>
          <w:p w14:paraId="11B93870">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3.院级：主持人（</w:t>
            </w:r>
            <w:r>
              <w:rPr>
                <w:rFonts w:hint="eastAsia" w:ascii="Times New Roman" w:hAnsi="Times New Roman"/>
                <w:color w:val="auto"/>
              </w:rPr>
              <w:t>2</w:t>
            </w:r>
            <w:r>
              <w:rPr>
                <w:rFonts w:ascii="Times New Roman" w:hAnsi="Times New Roman"/>
                <w:color w:val="auto"/>
              </w:rPr>
              <w:t>分），第2-3名（</w:t>
            </w:r>
            <w:r>
              <w:rPr>
                <w:rFonts w:hint="eastAsia" w:ascii="Times New Roman" w:hAnsi="Times New Roman"/>
                <w:color w:val="auto"/>
              </w:rPr>
              <w:t>1.2</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0.8</w:t>
            </w:r>
            <w:r>
              <w:rPr>
                <w:rFonts w:ascii="Times New Roman" w:hAnsi="Times New Roman"/>
                <w:color w:val="auto"/>
              </w:rPr>
              <w:t>分）</w:t>
            </w:r>
            <w:bookmarkStart w:id="5" w:name="_GoBack"/>
            <w:bookmarkEnd w:id="5"/>
          </w:p>
          <w:p w14:paraId="75136FE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388" w:firstLineChars="200"/>
              <w:rPr>
                <w:rFonts w:ascii="Times New Roman" w:hAnsi="Times New Roman" w:eastAsia="楷体"/>
                <w:color w:val="auto"/>
                <w:spacing w:val="-8"/>
              </w:rPr>
            </w:pPr>
            <w:r>
              <w:rPr>
                <w:rFonts w:ascii="Times New Roman" w:hAnsi="Times New Roman" w:eastAsia="楷体"/>
                <w:color w:val="auto"/>
                <w:spacing w:val="-8"/>
              </w:rPr>
              <w:t>备注：</w:t>
            </w:r>
          </w:p>
          <w:p w14:paraId="040922AE">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w:t>
            </w:r>
            <w:r>
              <w:rPr>
                <w:rFonts w:hint="eastAsia" w:ascii="Times New Roman" w:hAnsi="Times New Roman" w:eastAsia="楷体"/>
                <w:color w:val="auto"/>
              </w:rPr>
              <w:t>最</w:t>
            </w:r>
            <w:r>
              <w:rPr>
                <w:rFonts w:ascii="Times New Roman" w:hAnsi="Times New Roman" w:eastAsia="楷体"/>
                <w:color w:val="auto"/>
              </w:rPr>
              <w:t>高限</w:t>
            </w:r>
            <w:r>
              <w:rPr>
                <w:rFonts w:hint="eastAsia" w:ascii="Times New Roman" w:hAnsi="Times New Roman" w:eastAsia="楷体"/>
                <w:color w:val="auto"/>
              </w:rPr>
              <w:t>2</w:t>
            </w:r>
            <w:r>
              <w:rPr>
                <w:rFonts w:ascii="Times New Roman" w:hAnsi="Times New Roman" w:eastAsia="楷体"/>
                <w:color w:val="auto"/>
              </w:rPr>
              <w:t>项</w:t>
            </w:r>
            <w:r>
              <w:rPr>
                <w:rFonts w:hint="eastAsia" w:ascii="Times New Roman" w:hAnsi="Times New Roman" w:eastAsia="楷体"/>
                <w:color w:val="auto"/>
              </w:rPr>
              <w:t>；</w:t>
            </w:r>
          </w:p>
          <w:p w14:paraId="649FCFE8">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2.本项目</w:t>
            </w:r>
            <w:r>
              <w:rPr>
                <w:rFonts w:hint="eastAsia" w:ascii="Times New Roman" w:hAnsi="Times New Roman" w:eastAsia="楷体"/>
                <w:color w:val="auto"/>
              </w:rPr>
              <w:t>包含</w:t>
            </w:r>
            <w:r>
              <w:rPr>
                <w:rFonts w:ascii="Times New Roman" w:hAnsi="Times New Roman" w:eastAsia="楷体"/>
                <w:color w:val="auto"/>
              </w:rPr>
              <w:t>黄大年式教学团队、教师教学创新团队</w:t>
            </w:r>
            <w:r>
              <w:rPr>
                <w:rFonts w:hint="eastAsia" w:ascii="Times New Roman" w:hAnsi="Times New Roman" w:eastAsia="楷体"/>
                <w:color w:val="auto"/>
              </w:rPr>
              <w:t>；</w:t>
            </w:r>
          </w:p>
          <w:p w14:paraId="0CF03F9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3.验收通过</w:t>
            </w:r>
            <w:r>
              <w:rPr>
                <w:rFonts w:hint="eastAsia" w:ascii="Times New Roman" w:hAnsi="Times New Roman" w:eastAsia="楷体"/>
                <w:color w:val="auto"/>
              </w:rPr>
              <w:t>后方可计分；</w:t>
            </w:r>
          </w:p>
          <w:p w14:paraId="2F67ED0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4.参与外单位教学团队的不予认定、计分</w:t>
            </w:r>
            <w:r>
              <w:rPr>
                <w:rFonts w:ascii="Times New Roman" w:hAnsi="Times New Roman" w:eastAsia="楷体"/>
                <w:color w:val="auto"/>
              </w:rPr>
              <w:t>。</w:t>
            </w:r>
          </w:p>
        </w:tc>
      </w:tr>
      <w:tr w14:paraId="755B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jc w:val="center"/>
        </w:trPr>
        <w:tc>
          <w:tcPr>
            <w:tcW w:w="753" w:type="dxa"/>
            <w:vMerge w:val="continue"/>
            <w:vAlign w:val="center"/>
          </w:tcPr>
          <w:p w14:paraId="58CBE13C">
            <w:pPr>
              <w:pStyle w:val="6"/>
              <w:keepNext w:val="0"/>
              <w:keepLines w:val="0"/>
              <w:pageBreakBefore w:val="0"/>
              <w:widowControl w:val="0"/>
              <w:kinsoku/>
              <w:wordWrap/>
              <w:overflowPunct/>
              <w:topLinePunct w:val="0"/>
              <w:bidi w:val="0"/>
              <w:adjustRightInd/>
              <w:snapToGrid/>
              <w:rPr>
                <w:rFonts w:ascii="Times New Roman" w:hAnsi="Times New Roman"/>
                <w:color w:val="auto"/>
                <w:sz w:val="20"/>
              </w:rPr>
            </w:pPr>
          </w:p>
        </w:tc>
        <w:tc>
          <w:tcPr>
            <w:tcW w:w="754" w:type="dxa"/>
            <w:vAlign w:val="center"/>
          </w:tcPr>
          <w:p w14:paraId="1CBE66CD">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指导学生参加</w:t>
            </w:r>
            <w:r>
              <w:rPr>
                <w:rFonts w:hint="eastAsia" w:ascii="Times New Roman" w:hAnsi="Times New Roman"/>
                <w:color w:val="auto"/>
              </w:rPr>
              <w:t>教学类</w:t>
            </w:r>
            <w:r>
              <w:rPr>
                <w:rFonts w:ascii="Times New Roman" w:hAnsi="Times New Roman"/>
                <w:color w:val="auto"/>
              </w:rPr>
              <w:t>大赛获奖</w:t>
            </w:r>
          </w:p>
        </w:tc>
        <w:tc>
          <w:tcPr>
            <w:tcW w:w="9011" w:type="dxa"/>
            <w:vAlign w:val="center"/>
          </w:tcPr>
          <w:p w14:paraId="021EDEF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1.国家级A类：一等奖（50分）</w:t>
            </w:r>
            <w:r>
              <w:rPr>
                <w:rFonts w:hint="eastAsia" w:ascii="Times New Roman" w:hAnsi="Times New Roman"/>
                <w:color w:val="auto"/>
              </w:rPr>
              <w:t>，</w:t>
            </w:r>
            <w:r>
              <w:rPr>
                <w:rFonts w:ascii="Times New Roman" w:hAnsi="Times New Roman"/>
                <w:color w:val="auto"/>
              </w:rPr>
              <w:t>二等奖（</w:t>
            </w:r>
            <w:r>
              <w:rPr>
                <w:rFonts w:hint="eastAsia" w:ascii="Times New Roman" w:hAnsi="Times New Roman"/>
                <w:color w:val="auto"/>
              </w:rPr>
              <w:t>30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三等奖（</w:t>
            </w:r>
            <w:r>
              <w:rPr>
                <w:rFonts w:hint="eastAsia" w:ascii="Times New Roman" w:hAnsi="Times New Roman"/>
                <w:color w:val="auto"/>
              </w:rPr>
              <w:t>20</w:t>
            </w:r>
            <w:r>
              <w:rPr>
                <w:rFonts w:ascii="Times New Roman" w:hAnsi="Times New Roman"/>
                <w:color w:val="auto"/>
              </w:rPr>
              <w:t>分）</w:t>
            </w:r>
          </w:p>
          <w:p w14:paraId="6B8EF35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2.国家级B类：一等奖（</w:t>
            </w:r>
            <w:r>
              <w:rPr>
                <w:rFonts w:hint="eastAsia" w:ascii="Times New Roman" w:hAnsi="Times New Roman"/>
                <w:color w:val="auto"/>
              </w:rPr>
              <w:t>2</w:t>
            </w:r>
            <w:r>
              <w:rPr>
                <w:rFonts w:ascii="Times New Roman" w:hAnsi="Times New Roman"/>
                <w:color w:val="auto"/>
              </w:rPr>
              <w:t>0分）</w:t>
            </w:r>
            <w:r>
              <w:rPr>
                <w:rFonts w:hint="eastAsia" w:ascii="Times New Roman" w:hAnsi="Times New Roman"/>
                <w:color w:val="auto"/>
              </w:rPr>
              <w:t>，</w:t>
            </w:r>
            <w:r>
              <w:rPr>
                <w:rFonts w:ascii="Times New Roman" w:hAnsi="Times New Roman"/>
                <w:color w:val="auto"/>
              </w:rPr>
              <w:t>二等奖（</w:t>
            </w:r>
            <w:r>
              <w:rPr>
                <w:rFonts w:hint="eastAsia" w:ascii="Times New Roman" w:hAnsi="Times New Roman"/>
                <w:color w:val="auto"/>
              </w:rPr>
              <w:t>15</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三等奖（</w:t>
            </w:r>
            <w:r>
              <w:rPr>
                <w:rFonts w:hint="eastAsia" w:ascii="Times New Roman" w:hAnsi="Times New Roman"/>
                <w:color w:val="auto"/>
              </w:rPr>
              <w:t>10</w:t>
            </w:r>
            <w:r>
              <w:rPr>
                <w:rFonts w:ascii="Times New Roman" w:hAnsi="Times New Roman"/>
                <w:color w:val="auto"/>
              </w:rPr>
              <w:t>分）</w:t>
            </w:r>
          </w:p>
          <w:p w14:paraId="36D4924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3.国家</w:t>
            </w:r>
            <w:r>
              <w:rPr>
                <w:rFonts w:ascii="Times New Roman" w:hAnsi="Times New Roman"/>
                <w:color w:val="auto"/>
              </w:rPr>
              <w:t>级</w:t>
            </w:r>
            <w:r>
              <w:rPr>
                <w:rFonts w:hint="eastAsia" w:ascii="Times New Roman" w:hAnsi="Times New Roman"/>
                <w:color w:val="auto"/>
              </w:rPr>
              <w:t>C</w:t>
            </w:r>
            <w:r>
              <w:rPr>
                <w:rFonts w:ascii="Times New Roman" w:hAnsi="Times New Roman"/>
                <w:color w:val="auto"/>
              </w:rPr>
              <w:t>类：一等奖（</w:t>
            </w:r>
            <w:r>
              <w:rPr>
                <w:rFonts w:hint="eastAsia" w:ascii="Times New Roman" w:hAnsi="Times New Roman"/>
                <w:color w:val="auto"/>
              </w:rPr>
              <w:t>1</w:t>
            </w:r>
            <w:r>
              <w:rPr>
                <w:rFonts w:ascii="Times New Roman" w:hAnsi="Times New Roman"/>
                <w:color w:val="auto"/>
              </w:rPr>
              <w:t>0分）</w:t>
            </w:r>
            <w:r>
              <w:rPr>
                <w:rFonts w:hint="eastAsia" w:ascii="Times New Roman" w:hAnsi="Times New Roman"/>
                <w:color w:val="auto"/>
              </w:rPr>
              <w:t>，</w:t>
            </w:r>
            <w:r>
              <w:rPr>
                <w:rFonts w:ascii="Times New Roman" w:hAnsi="Times New Roman"/>
                <w:color w:val="auto"/>
              </w:rPr>
              <w:t>二等奖（</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三等奖（</w:t>
            </w:r>
            <w:r>
              <w:rPr>
                <w:rFonts w:hint="eastAsia" w:ascii="Times New Roman" w:hAnsi="Times New Roman"/>
                <w:color w:val="auto"/>
              </w:rPr>
              <w:t>3</w:t>
            </w:r>
            <w:r>
              <w:rPr>
                <w:rFonts w:ascii="Times New Roman" w:hAnsi="Times New Roman"/>
                <w:color w:val="auto"/>
              </w:rPr>
              <w:t>分）</w:t>
            </w:r>
          </w:p>
          <w:p w14:paraId="5C0173E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4</w:t>
            </w:r>
            <w:r>
              <w:rPr>
                <w:rFonts w:ascii="Times New Roman" w:hAnsi="Times New Roman"/>
                <w:color w:val="auto"/>
              </w:rPr>
              <w:t>.省级A类：一等奖（</w:t>
            </w:r>
            <w:r>
              <w:rPr>
                <w:rFonts w:hint="eastAsia" w:ascii="Times New Roman" w:hAnsi="Times New Roman"/>
                <w:color w:val="auto"/>
              </w:rPr>
              <w:t>1</w:t>
            </w:r>
            <w:r>
              <w:rPr>
                <w:rFonts w:ascii="Times New Roman" w:hAnsi="Times New Roman"/>
                <w:color w:val="auto"/>
              </w:rPr>
              <w:t>0分）</w:t>
            </w:r>
            <w:r>
              <w:rPr>
                <w:rFonts w:hint="eastAsia" w:ascii="Times New Roman" w:hAnsi="Times New Roman"/>
                <w:color w:val="auto"/>
              </w:rPr>
              <w:t>，</w:t>
            </w:r>
            <w:r>
              <w:rPr>
                <w:rFonts w:ascii="Times New Roman" w:hAnsi="Times New Roman"/>
                <w:color w:val="auto"/>
              </w:rPr>
              <w:t>二等奖（</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三等奖（</w:t>
            </w:r>
            <w:r>
              <w:rPr>
                <w:rFonts w:hint="eastAsia" w:ascii="Times New Roman" w:hAnsi="Times New Roman"/>
                <w:color w:val="auto"/>
              </w:rPr>
              <w:t>3</w:t>
            </w:r>
            <w:r>
              <w:rPr>
                <w:rFonts w:ascii="Times New Roman" w:hAnsi="Times New Roman"/>
                <w:color w:val="auto"/>
              </w:rPr>
              <w:t>分）</w:t>
            </w:r>
          </w:p>
          <w:p w14:paraId="7756CB5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5</w:t>
            </w:r>
            <w:r>
              <w:rPr>
                <w:rFonts w:ascii="Times New Roman" w:hAnsi="Times New Roman"/>
                <w:color w:val="auto"/>
              </w:rPr>
              <w:t>.省级B类：一等奖（</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二等奖（</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三等奖（</w:t>
            </w:r>
            <w:r>
              <w:rPr>
                <w:rFonts w:hint="eastAsia" w:ascii="Times New Roman" w:hAnsi="Times New Roman"/>
                <w:color w:val="auto"/>
              </w:rPr>
              <w:t>2</w:t>
            </w:r>
            <w:r>
              <w:rPr>
                <w:rFonts w:ascii="Times New Roman" w:hAnsi="Times New Roman"/>
                <w:color w:val="auto"/>
              </w:rPr>
              <w:t>分）</w:t>
            </w:r>
          </w:p>
          <w:p w14:paraId="1131755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color w:val="auto"/>
              </w:rPr>
            </w:pPr>
            <w:r>
              <w:rPr>
                <w:rFonts w:hint="eastAsia" w:ascii="Times New Roman" w:hAnsi="Times New Roman"/>
                <w:color w:val="auto"/>
              </w:rPr>
              <w:t>6.</w:t>
            </w:r>
            <w:r>
              <w:rPr>
                <w:rFonts w:ascii="Times New Roman" w:hAnsi="Times New Roman"/>
                <w:color w:val="auto"/>
              </w:rPr>
              <w:t>省级C类：一等奖（3分）</w:t>
            </w:r>
            <w:r>
              <w:rPr>
                <w:rFonts w:hint="eastAsia" w:ascii="Times New Roman" w:hAnsi="Times New Roman"/>
                <w:color w:val="auto"/>
              </w:rPr>
              <w:t>，</w:t>
            </w:r>
            <w:r>
              <w:rPr>
                <w:rFonts w:ascii="Times New Roman" w:hAnsi="Times New Roman"/>
                <w:color w:val="auto"/>
              </w:rPr>
              <w:t>二等奖（2分）</w:t>
            </w:r>
            <w:r>
              <w:rPr>
                <w:rFonts w:hint="eastAsia" w:ascii="Times New Roman" w:hAnsi="Times New Roman"/>
                <w:color w:val="auto"/>
              </w:rPr>
              <w:t>，</w:t>
            </w:r>
            <w:r>
              <w:rPr>
                <w:rFonts w:ascii="Times New Roman" w:hAnsi="Times New Roman"/>
                <w:color w:val="auto"/>
              </w:rPr>
              <w:t>三等奖（1分）</w:t>
            </w:r>
          </w:p>
          <w:p w14:paraId="07082A8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shd w:val="clear" w:color="auto" w:fill="FFFF00"/>
              </w:rPr>
            </w:pPr>
            <w:r>
              <w:rPr>
                <w:rFonts w:ascii="Times New Roman" w:hAnsi="Times New Roman" w:eastAsia="楷体"/>
                <w:color w:val="auto"/>
              </w:rPr>
              <w:t>备注：</w:t>
            </w:r>
          </w:p>
          <w:p w14:paraId="46DC6877">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1.累计计分，最高限3项</w:t>
            </w:r>
            <w:r>
              <w:rPr>
                <w:rFonts w:hint="eastAsia" w:ascii="Times New Roman" w:hAnsi="Times New Roman" w:eastAsia="楷体"/>
                <w:color w:val="auto"/>
              </w:rPr>
              <w:t>；</w:t>
            </w:r>
          </w:p>
          <w:p w14:paraId="24E2C72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2.认定标准以附录2为准</w:t>
            </w:r>
            <w:r>
              <w:rPr>
                <w:rFonts w:hint="eastAsia" w:ascii="Times New Roman" w:hAnsi="Times New Roman" w:eastAsia="楷体"/>
                <w:color w:val="auto"/>
              </w:rPr>
              <w:t>；</w:t>
            </w:r>
          </w:p>
          <w:p w14:paraId="573768D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w:t>
            </w:r>
            <w:r>
              <w:rPr>
                <w:rFonts w:ascii="Times New Roman" w:hAnsi="Times New Roman" w:eastAsia="楷体"/>
                <w:color w:val="auto"/>
              </w:rPr>
              <w:t>比赛内容应与申报专业相关</w:t>
            </w:r>
            <w:r>
              <w:rPr>
                <w:rFonts w:hint="eastAsia" w:ascii="Times New Roman" w:hAnsi="Times New Roman" w:eastAsia="楷体"/>
                <w:color w:val="auto"/>
              </w:rPr>
              <w:t>；</w:t>
            </w:r>
          </w:p>
          <w:p w14:paraId="6C51E15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w:t>
            </w:r>
            <w:r>
              <w:rPr>
                <w:rFonts w:ascii="Times New Roman" w:hAnsi="Times New Roman" w:eastAsia="楷体"/>
                <w:color w:val="auto"/>
              </w:rPr>
              <w:t>.按名次评奖的比赛，第1-2名</w:t>
            </w:r>
            <w:r>
              <w:rPr>
                <w:rFonts w:hint="eastAsia" w:ascii="Times New Roman" w:hAnsi="Times New Roman" w:eastAsia="楷体"/>
                <w:color w:val="auto"/>
              </w:rPr>
              <w:t>按</w:t>
            </w:r>
            <w:r>
              <w:rPr>
                <w:rFonts w:ascii="Times New Roman" w:hAnsi="Times New Roman" w:eastAsia="楷体"/>
                <w:color w:val="auto"/>
              </w:rPr>
              <w:t>一等奖计分，3-5名</w:t>
            </w:r>
            <w:r>
              <w:rPr>
                <w:rFonts w:hint="eastAsia" w:ascii="Times New Roman" w:hAnsi="Times New Roman" w:eastAsia="楷体"/>
                <w:color w:val="auto"/>
              </w:rPr>
              <w:t>按</w:t>
            </w:r>
            <w:r>
              <w:rPr>
                <w:rFonts w:ascii="Times New Roman" w:hAnsi="Times New Roman" w:eastAsia="楷体"/>
                <w:color w:val="auto"/>
              </w:rPr>
              <w:t>二等奖计分，6-8名</w:t>
            </w:r>
            <w:r>
              <w:rPr>
                <w:rFonts w:hint="eastAsia" w:ascii="Times New Roman" w:hAnsi="Times New Roman" w:eastAsia="楷体"/>
                <w:color w:val="auto"/>
              </w:rPr>
              <w:t>按</w:t>
            </w:r>
            <w:r>
              <w:rPr>
                <w:rFonts w:ascii="Times New Roman" w:hAnsi="Times New Roman" w:eastAsia="楷体"/>
                <w:color w:val="auto"/>
              </w:rPr>
              <w:t>三等奖计分</w:t>
            </w:r>
            <w:r>
              <w:rPr>
                <w:rFonts w:hint="eastAsia" w:ascii="Times New Roman" w:hAnsi="Times New Roman" w:eastAsia="楷体"/>
                <w:color w:val="auto"/>
              </w:rPr>
              <w:t>；</w:t>
            </w:r>
          </w:p>
          <w:p w14:paraId="4036D2C0">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5.学生参加</w:t>
            </w:r>
            <w:r>
              <w:rPr>
                <w:rFonts w:hint="eastAsia" w:ascii="Times New Roman" w:hAnsi="Times New Roman" w:eastAsia="楷体"/>
                <w:color w:val="auto"/>
              </w:rPr>
              <w:t>教学类技能大赛</w:t>
            </w:r>
            <w:r>
              <w:rPr>
                <w:rFonts w:ascii="Times New Roman" w:hAnsi="Times New Roman" w:eastAsia="楷体"/>
                <w:color w:val="auto"/>
              </w:rPr>
              <w:t>需在教务处备案，由教务处审核认定</w:t>
            </w:r>
            <w:r>
              <w:rPr>
                <w:rFonts w:hint="eastAsia" w:ascii="Times New Roman" w:hAnsi="Times New Roman" w:eastAsia="楷体"/>
                <w:color w:val="auto"/>
              </w:rPr>
              <w:t>；国际大学生创新大赛、中华职业教育创新创业大赛、职业规划</w:t>
            </w:r>
            <w:r>
              <w:rPr>
                <w:rFonts w:ascii="Times New Roman" w:hAnsi="Times New Roman" w:eastAsia="楷体"/>
                <w:color w:val="auto"/>
              </w:rPr>
              <w:t>大赛由招生就业指导中心审核认定</w:t>
            </w:r>
            <w:r>
              <w:rPr>
                <w:rFonts w:hint="eastAsia" w:ascii="Times New Roman" w:hAnsi="Times New Roman" w:eastAsia="楷体"/>
                <w:color w:val="auto"/>
              </w:rPr>
              <w:t>；</w:t>
            </w:r>
            <w:r>
              <w:rPr>
                <w:rFonts w:ascii="Times New Roman" w:hAnsi="Times New Roman" w:eastAsia="楷体"/>
                <w:color w:val="auto"/>
              </w:rPr>
              <w:t>挑战杯大赛由团委审核认定</w:t>
            </w:r>
            <w:r>
              <w:rPr>
                <w:rFonts w:hint="eastAsia" w:ascii="Times New Roman" w:hAnsi="Times New Roman" w:eastAsia="楷体"/>
                <w:color w:val="auto"/>
              </w:rPr>
              <w:t>；</w:t>
            </w:r>
          </w:p>
          <w:p w14:paraId="655A374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6.指导教师限前5名，前3名按上述标准计分，第4-5名减半计分，以获奖证书姓名排序为准，获奖证书不体现指导教师姓名的参照教育部、教育厅颁发证书中的规定人数执行；</w:t>
            </w:r>
          </w:p>
          <w:p w14:paraId="7B1CDDE1">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7.同一批次同一参赛项目获得多个级别奖项的，取最高级别计分；</w:t>
            </w:r>
          </w:p>
          <w:p w14:paraId="7000D8D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8</w:t>
            </w:r>
            <w:r>
              <w:rPr>
                <w:rFonts w:hint="eastAsia" w:ascii="Times New Roman" w:hAnsi="Times New Roman" w:eastAsia="楷体"/>
                <w:color w:val="auto"/>
              </w:rPr>
              <w:t>.参与指导其他学校学生比赛的不予认定、计分</w:t>
            </w:r>
            <w:r>
              <w:rPr>
                <w:rFonts w:ascii="Times New Roman" w:hAnsi="Times New Roman" w:eastAsia="楷体"/>
                <w:color w:val="auto"/>
              </w:rPr>
              <w:t>。</w:t>
            </w:r>
          </w:p>
        </w:tc>
      </w:tr>
      <w:tr w14:paraId="000C5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753" w:type="dxa"/>
            <w:vMerge w:val="continue"/>
            <w:vAlign w:val="center"/>
          </w:tcPr>
          <w:p w14:paraId="18570E1B">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5600655D">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教师教学竞赛</w:t>
            </w:r>
          </w:p>
        </w:tc>
        <w:tc>
          <w:tcPr>
            <w:tcW w:w="9011" w:type="dxa"/>
            <w:vAlign w:val="center"/>
          </w:tcPr>
          <w:p w14:paraId="090E6D7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w:t>
            </w:r>
            <w:r>
              <w:rPr>
                <w:rFonts w:ascii="Times New Roman" w:hAnsi="Times New Roman"/>
                <w:color w:val="auto"/>
              </w:rPr>
              <w:t>国家级</w:t>
            </w:r>
            <w:r>
              <w:rPr>
                <w:rFonts w:hint="eastAsia" w:ascii="Times New Roman" w:hAnsi="Times New Roman"/>
                <w:color w:val="auto"/>
              </w:rPr>
              <w:t>A类</w:t>
            </w:r>
            <w:r>
              <w:rPr>
                <w:rFonts w:ascii="Times New Roman" w:hAnsi="Times New Roman"/>
                <w:color w:val="auto"/>
              </w:rPr>
              <w:t>：一等奖（50分），二等奖（30分），三等奖（</w:t>
            </w:r>
            <w:r>
              <w:rPr>
                <w:rFonts w:hint="eastAsia" w:ascii="Times New Roman" w:hAnsi="Times New Roman"/>
                <w:color w:val="auto"/>
              </w:rPr>
              <w:t>20</w:t>
            </w:r>
            <w:r>
              <w:rPr>
                <w:rFonts w:ascii="Times New Roman" w:hAnsi="Times New Roman"/>
                <w:color w:val="auto"/>
              </w:rPr>
              <w:t>分）</w:t>
            </w:r>
          </w:p>
          <w:p w14:paraId="6E258CC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2.国家级B类：</w:t>
            </w:r>
            <w:r>
              <w:rPr>
                <w:rFonts w:ascii="Times New Roman" w:hAnsi="Times New Roman"/>
                <w:color w:val="auto"/>
              </w:rPr>
              <w:t>一等奖（</w:t>
            </w:r>
            <w:r>
              <w:rPr>
                <w:rFonts w:hint="eastAsia" w:ascii="Times New Roman" w:hAnsi="Times New Roman"/>
                <w:color w:val="auto"/>
              </w:rPr>
              <w:t>2</w:t>
            </w:r>
            <w:r>
              <w:rPr>
                <w:rFonts w:ascii="Times New Roman" w:hAnsi="Times New Roman"/>
                <w:color w:val="auto"/>
              </w:rPr>
              <w:t>0分），二等奖（</w:t>
            </w:r>
            <w:r>
              <w:rPr>
                <w:rFonts w:hint="eastAsia" w:ascii="Times New Roman" w:hAnsi="Times New Roman"/>
                <w:color w:val="auto"/>
              </w:rPr>
              <w:t>15</w:t>
            </w:r>
            <w:r>
              <w:rPr>
                <w:rFonts w:ascii="Times New Roman" w:hAnsi="Times New Roman"/>
                <w:color w:val="auto"/>
              </w:rPr>
              <w:t>分），三等奖（</w:t>
            </w:r>
            <w:r>
              <w:rPr>
                <w:rFonts w:hint="eastAsia" w:ascii="Times New Roman" w:hAnsi="Times New Roman"/>
                <w:color w:val="auto"/>
              </w:rPr>
              <w:t>10</w:t>
            </w:r>
            <w:r>
              <w:rPr>
                <w:rFonts w:ascii="Times New Roman" w:hAnsi="Times New Roman"/>
                <w:color w:val="auto"/>
              </w:rPr>
              <w:t>分）</w:t>
            </w:r>
          </w:p>
          <w:p w14:paraId="6BD7ABB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3.国家级C类：</w:t>
            </w:r>
            <w:r>
              <w:rPr>
                <w:rFonts w:ascii="Times New Roman" w:hAnsi="Times New Roman"/>
                <w:color w:val="auto"/>
              </w:rPr>
              <w:t>一等奖（1</w:t>
            </w:r>
            <w:r>
              <w:rPr>
                <w:rFonts w:hint="eastAsia" w:ascii="Times New Roman" w:hAnsi="Times New Roman"/>
                <w:color w:val="auto"/>
              </w:rPr>
              <w:t>5</w:t>
            </w:r>
            <w:r>
              <w:rPr>
                <w:rFonts w:ascii="Times New Roman" w:hAnsi="Times New Roman"/>
                <w:color w:val="auto"/>
              </w:rPr>
              <w:t>分），二等奖（</w:t>
            </w:r>
            <w:r>
              <w:rPr>
                <w:rFonts w:hint="eastAsia" w:ascii="Times New Roman" w:hAnsi="Times New Roman"/>
                <w:color w:val="auto"/>
              </w:rPr>
              <w:t>10</w:t>
            </w:r>
            <w:r>
              <w:rPr>
                <w:rFonts w:ascii="Times New Roman" w:hAnsi="Times New Roman"/>
                <w:color w:val="auto"/>
              </w:rPr>
              <w:t>分），三等奖（</w:t>
            </w:r>
            <w:r>
              <w:rPr>
                <w:rFonts w:hint="eastAsia" w:ascii="Times New Roman" w:hAnsi="Times New Roman"/>
                <w:color w:val="auto"/>
              </w:rPr>
              <w:t>5</w:t>
            </w:r>
            <w:r>
              <w:rPr>
                <w:rFonts w:ascii="Times New Roman" w:hAnsi="Times New Roman"/>
                <w:color w:val="auto"/>
              </w:rPr>
              <w:t>分）</w:t>
            </w:r>
          </w:p>
          <w:p w14:paraId="50C89890">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4.</w:t>
            </w:r>
            <w:r>
              <w:rPr>
                <w:rFonts w:ascii="Times New Roman" w:hAnsi="Times New Roman"/>
                <w:color w:val="auto"/>
              </w:rPr>
              <w:t>省级</w:t>
            </w:r>
            <w:r>
              <w:rPr>
                <w:rFonts w:hint="eastAsia" w:ascii="Times New Roman" w:hAnsi="Times New Roman"/>
                <w:color w:val="auto"/>
              </w:rPr>
              <w:t>A类</w:t>
            </w:r>
            <w:r>
              <w:rPr>
                <w:rFonts w:ascii="Times New Roman" w:hAnsi="Times New Roman"/>
                <w:color w:val="auto"/>
              </w:rPr>
              <w:t>：一等奖（1</w:t>
            </w:r>
            <w:r>
              <w:rPr>
                <w:rFonts w:hint="eastAsia" w:ascii="Times New Roman" w:hAnsi="Times New Roman"/>
                <w:color w:val="auto"/>
              </w:rPr>
              <w:t>5</w:t>
            </w:r>
            <w:r>
              <w:rPr>
                <w:rFonts w:ascii="Times New Roman" w:hAnsi="Times New Roman"/>
                <w:color w:val="auto"/>
              </w:rPr>
              <w:t>分），二等奖（</w:t>
            </w:r>
            <w:r>
              <w:rPr>
                <w:rFonts w:hint="eastAsia" w:ascii="Times New Roman" w:hAnsi="Times New Roman"/>
                <w:color w:val="auto"/>
              </w:rPr>
              <w:t>10</w:t>
            </w:r>
            <w:r>
              <w:rPr>
                <w:rFonts w:ascii="Times New Roman" w:hAnsi="Times New Roman"/>
                <w:color w:val="auto"/>
              </w:rPr>
              <w:t>分），三等奖（</w:t>
            </w:r>
            <w:r>
              <w:rPr>
                <w:rFonts w:hint="eastAsia" w:ascii="Times New Roman" w:hAnsi="Times New Roman"/>
                <w:color w:val="auto"/>
              </w:rPr>
              <w:t>5</w:t>
            </w:r>
            <w:r>
              <w:rPr>
                <w:rFonts w:ascii="Times New Roman" w:hAnsi="Times New Roman"/>
                <w:color w:val="auto"/>
              </w:rPr>
              <w:t>分）</w:t>
            </w:r>
          </w:p>
          <w:p w14:paraId="6B021ED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5.省级B类：</w:t>
            </w:r>
            <w:r>
              <w:rPr>
                <w:rFonts w:ascii="Times New Roman" w:hAnsi="Times New Roman"/>
                <w:color w:val="auto"/>
              </w:rPr>
              <w:t>一等奖（</w:t>
            </w:r>
            <w:r>
              <w:rPr>
                <w:rFonts w:hint="eastAsia" w:ascii="Times New Roman" w:hAnsi="Times New Roman"/>
                <w:color w:val="auto"/>
              </w:rPr>
              <w:t>8</w:t>
            </w:r>
            <w:r>
              <w:rPr>
                <w:rFonts w:ascii="Times New Roman" w:hAnsi="Times New Roman"/>
                <w:color w:val="auto"/>
              </w:rPr>
              <w:t>分），二等奖（</w:t>
            </w:r>
            <w:r>
              <w:rPr>
                <w:rFonts w:hint="eastAsia" w:ascii="Times New Roman" w:hAnsi="Times New Roman"/>
                <w:color w:val="auto"/>
              </w:rPr>
              <w:t>4</w:t>
            </w:r>
            <w:r>
              <w:rPr>
                <w:rFonts w:ascii="Times New Roman" w:hAnsi="Times New Roman"/>
                <w:color w:val="auto"/>
              </w:rPr>
              <w:t>分），三等奖（</w:t>
            </w:r>
            <w:r>
              <w:rPr>
                <w:rFonts w:hint="eastAsia" w:ascii="Times New Roman" w:hAnsi="Times New Roman"/>
                <w:color w:val="auto"/>
              </w:rPr>
              <w:t>2</w:t>
            </w:r>
            <w:r>
              <w:rPr>
                <w:rFonts w:ascii="Times New Roman" w:hAnsi="Times New Roman"/>
                <w:color w:val="auto"/>
              </w:rPr>
              <w:t>分）</w:t>
            </w:r>
          </w:p>
          <w:p w14:paraId="6F9B293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lang w:val="en-US" w:eastAsia="zh-CN"/>
              </w:rPr>
              <w:t>6</w:t>
            </w:r>
            <w:r>
              <w:rPr>
                <w:rFonts w:hint="eastAsia" w:ascii="Times New Roman" w:hAnsi="Times New Roman"/>
                <w:color w:val="auto"/>
              </w:rPr>
              <w:t>.省级</w:t>
            </w:r>
            <w:r>
              <w:rPr>
                <w:rFonts w:hint="eastAsia" w:ascii="Times New Roman" w:hAnsi="Times New Roman"/>
                <w:color w:val="auto"/>
                <w:lang w:val="en-US" w:eastAsia="zh-CN"/>
              </w:rPr>
              <w:t>C</w:t>
            </w:r>
            <w:r>
              <w:rPr>
                <w:rFonts w:hint="eastAsia" w:ascii="Times New Roman" w:hAnsi="Times New Roman"/>
                <w:color w:val="auto"/>
              </w:rPr>
              <w:t>类：</w:t>
            </w:r>
            <w:r>
              <w:rPr>
                <w:rFonts w:ascii="Times New Roman" w:hAnsi="Times New Roman"/>
                <w:color w:val="auto"/>
              </w:rPr>
              <w:t>一等奖（</w:t>
            </w:r>
            <w:r>
              <w:rPr>
                <w:rFonts w:hint="eastAsia" w:ascii="Times New Roman" w:hAnsi="Times New Roman"/>
                <w:color w:val="auto"/>
                <w:lang w:val="en-US" w:eastAsia="zh-CN"/>
              </w:rPr>
              <w:t>4</w:t>
            </w:r>
            <w:r>
              <w:rPr>
                <w:rFonts w:ascii="Times New Roman" w:hAnsi="Times New Roman"/>
                <w:color w:val="auto"/>
              </w:rPr>
              <w:t>分），二等奖（</w:t>
            </w:r>
            <w:r>
              <w:rPr>
                <w:rFonts w:hint="eastAsia" w:ascii="Times New Roman" w:hAnsi="Times New Roman"/>
                <w:color w:val="auto"/>
                <w:lang w:val="en-US" w:eastAsia="zh-CN"/>
              </w:rPr>
              <w:t>2</w:t>
            </w:r>
            <w:r>
              <w:rPr>
                <w:rFonts w:ascii="Times New Roman" w:hAnsi="Times New Roman"/>
                <w:color w:val="auto"/>
              </w:rPr>
              <w:t>分），三等奖（</w:t>
            </w:r>
            <w:r>
              <w:rPr>
                <w:rFonts w:hint="eastAsia" w:ascii="Times New Roman" w:hAnsi="Times New Roman"/>
                <w:color w:val="auto"/>
                <w:lang w:val="en-US" w:eastAsia="zh-CN"/>
              </w:rPr>
              <w:t>1</w:t>
            </w:r>
            <w:r>
              <w:rPr>
                <w:rFonts w:ascii="Times New Roman" w:hAnsi="Times New Roman"/>
                <w:color w:val="auto"/>
              </w:rPr>
              <w:t>分）</w:t>
            </w:r>
          </w:p>
          <w:p w14:paraId="076B834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lang w:val="en-US" w:eastAsia="zh-CN"/>
              </w:rPr>
              <w:t>7</w:t>
            </w:r>
            <w:r>
              <w:rPr>
                <w:rFonts w:hint="eastAsia" w:ascii="Times New Roman" w:hAnsi="Times New Roman"/>
                <w:color w:val="auto"/>
              </w:rPr>
              <w:t>.市/院级</w:t>
            </w:r>
            <w:r>
              <w:rPr>
                <w:rFonts w:ascii="Times New Roman" w:hAnsi="Times New Roman"/>
                <w:color w:val="auto"/>
              </w:rPr>
              <w:t>：一等奖（</w:t>
            </w:r>
            <w:r>
              <w:rPr>
                <w:rFonts w:hint="eastAsia" w:ascii="Times New Roman" w:hAnsi="Times New Roman"/>
                <w:color w:val="auto"/>
              </w:rPr>
              <w:t>2</w:t>
            </w:r>
            <w:r>
              <w:rPr>
                <w:rFonts w:ascii="Times New Roman" w:hAnsi="Times New Roman"/>
                <w:color w:val="auto"/>
              </w:rPr>
              <w:t>分），二</w:t>
            </w:r>
            <w:r>
              <w:rPr>
                <w:rFonts w:hint="eastAsia" w:ascii="Times New Roman" w:hAnsi="Times New Roman"/>
                <w:color w:val="auto"/>
              </w:rPr>
              <w:t>等奖/三等奖</w:t>
            </w:r>
            <w:r>
              <w:rPr>
                <w:rFonts w:ascii="Times New Roman" w:hAnsi="Times New Roman"/>
                <w:color w:val="auto"/>
              </w:rPr>
              <w:t>（</w:t>
            </w:r>
            <w:r>
              <w:rPr>
                <w:rFonts w:hint="eastAsia" w:ascii="Times New Roman" w:hAnsi="Times New Roman"/>
                <w:color w:val="auto"/>
              </w:rPr>
              <w:t>1</w:t>
            </w:r>
            <w:r>
              <w:rPr>
                <w:rFonts w:ascii="Times New Roman" w:hAnsi="Times New Roman"/>
                <w:color w:val="auto"/>
              </w:rPr>
              <w:t>分）</w:t>
            </w:r>
          </w:p>
          <w:p w14:paraId="3688AFE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384" w:firstLineChars="200"/>
              <w:rPr>
                <w:rFonts w:ascii="Times New Roman" w:hAnsi="Times New Roman" w:eastAsia="楷体"/>
                <w:color w:val="auto"/>
                <w:spacing w:val="-9"/>
              </w:rPr>
            </w:pPr>
            <w:r>
              <w:rPr>
                <w:rFonts w:ascii="Times New Roman" w:hAnsi="Times New Roman" w:eastAsia="楷体"/>
                <w:color w:val="auto"/>
                <w:spacing w:val="-9"/>
              </w:rPr>
              <w:t>备注：</w:t>
            </w:r>
          </w:p>
          <w:p w14:paraId="266522E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1.累计计分，最高限3项</w:t>
            </w:r>
            <w:r>
              <w:rPr>
                <w:rFonts w:hint="eastAsia" w:ascii="Times New Roman" w:hAnsi="Times New Roman" w:eastAsia="楷体"/>
                <w:color w:val="auto"/>
              </w:rPr>
              <w:t>；</w:t>
            </w:r>
          </w:p>
          <w:p w14:paraId="176DA4F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2.认定</w:t>
            </w:r>
            <w:r>
              <w:rPr>
                <w:rFonts w:hint="eastAsia" w:ascii="Times New Roman" w:hAnsi="Times New Roman" w:eastAsia="楷体"/>
                <w:color w:val="auto"/>
              </w:rPr>
              <w:t>标准</w:t>
            </w:r>
            <w:r>
              <w:rPr>
                <w:rFonts w:ascii="Times New Roman" w:hAnsi="Times New Roman" w:eastAsia="楷体"/>
                <w:color w:val="auto"/>
              </w:rPr>
              <w:t>以附录3为准</w:t>
            </w:r>
            <w:r>
              <w:rPr>
                <w:rFonts w:hint="eastAsia" w:ascii="Times New Roman" w:hAnsi="Times New Roman" w:eastAsia="楷体"/>
                <w:color w:val="auto"/>
              </w:rPr>
              <w:t>；</w:t>
            </w:r>
          </w:p>
          <w:p w14:paraId="5273FAA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w:t>
            </w:r>
            <w:r>
              <w:rPr>
                <w:rFonts w:ascii="Times New Roman" w:hAnsi="Times New Roman" w:eastAsia="楷体"/>
                <w:color w:val="auto"/>
              </w:rPr>
              <w:t>比赛内容应与申报专业相关</w:t>
            </w:r>
            <w:r>
              <w:rPr>
                <w:rFonts w:hint="eastAsia" w:ascii="Times New Roman" w:hAnsi="Times New Roman" w:eastAsia="楷体"/>
                <w:color w:val="auto"/>
              </w:rPr>
              <w:t>；</w:t>
            </w:r>
          </w:p>
          <w:p w14:paraId="079462E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w:t>
            </w:r>
            <w:r>
              <w:rPr>
                <w:rFonts w:ascii="Times New Roman" w:hAnsi="Times New Roman" w:eastAsia="楷体"/>
                <w:color w:val="auto"/>
              </w:rPr>
              <w:t>.按名次评奖的比赛，第1-2名</w:t>
            </w:r>
            <w:r>
              <w:rPr>
                <w:rFonts w:hint="eastAsia" w:ascii="Times New Roman" w:hAnsi="Times New Roman" w:eastAsia="楷体"/>
                <w:color w:val="auto"/>
              </w:rPr>
              <w:t>按</w:t>
            </w:r>
            <w:r>
              <w:rPr>
                <w:rFonts w:ascii="Times New Roman" w:hAnsi="Times New Roman" w:eastAsia="楷体"/>
                <w:color w:val="auto"/>
              </w:rPr>
              <w:t>一等奖计分，3-5名</w:t>
            </w:r>
            <w:r>
              <w:rPr>
                <w:rFonts w:hint="eastAsia" w:ascii="Times New Roman" w:hAnsi="Times New Roman" w:eastAsia="楷体"/>
                <w:color w:val="auto"/>
              </w:rPr>
              <w:t>按</w:t>
            </w:r>
            <w:r>
              <w:rPr>
                <w:rFonts w:ascii="Times New Roman" w:hAnsi="Times New Roman" w:eastAsia="楷体"/>
                <w:color w:val="auto"/>
              </w:rPr>
              <w:t>二等奖计分，6-8名</w:t>
            </w:r>
            <w:r>
              <w:rPr>
                <w:rFonts w:hint="eastAsia" w:ascii="Times New Roman" w:hAnsi="Times New Roman" w:eastAsia="楷体"/>
                <w:color w:val="auto"/>
              </w:rPr>
              <w:t>按</w:t>
            </w:r>
            <w:r>
              <w:rPr>
                <w:rFonts w:ascii="Times New Roman" w:hAnsi="Times New Roman" w:eastAsia="楷体"/>
                <w:color w:val="auto"/>
              </w:rPr>
              <w:t>三等奖计分</w:t>
            </w:r>
            <w:r>
              <w:rPr>
                <w:rFonts w:hint="eastAsia" w:ascii="Times New Roman" w:hAnsi="Times New Roman" w:eastAsia="楷体"/>
                <w:color w:val="auto"/>
              </w:rPr>
              <w:t>；</w:t>
            </w:r>
          </w:p>
          <w:p w14:paraId="70E2B9C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w:t>
            </w:r>
            <w:r>
              <w:rPr>
                <w:rFonts w:ascii="Times New Roman" w:hAnsi="Times New Roman" w:eastAsia="楷体"/>
                <w:color w:val="auto"/>
              </w:rPr>
              <w:t>.</w:t>
            </w:r>
            <w:r>
              <w:rPr>
                <w:rFonts w:hint="eastAsia" w:ascii="Times New Roman" w:hAnsi="Times New Roman" w:eastAsia="楷体"/>
                <w:color w:val="auto"/>
              </w:rPr>
              <w:t>同一批次同一参赛项目获得多个级别奖项的，取最高级别计分；</w:t>
            </w:r>
          </w:p>
          <w:p w14:paraId="5706584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6.参与外单位竞赛的不予认定、计分。</w:t>
            </w:r>
          </w:p>
        </w:tc>
      </w:tr>
      <w:tr w14:paraId="5F2E0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3" w:type="dxa"/>
            <w:vMerge w:val="restart"/>
            <w:vAlign w:val="center"/>
          </w:tcPr>
          <w:p w14:paraId="7B3DA7C1">
            <w:pPr>
              <w:pStyle w:val="6"/>
              <w:keepNext w:val="0"/>
              <w:keepLines w:val="0"/>
              <w:pageBreakBefore w:val="0"/>
              <w:widowControl w:val="0"/>
              <w:kinsoku/>
              <w:wordWrap/>
              <w:overflowPunct/>
              <w:topLinePunct w:val="0"/>
              <w:bidi w:val="0"/>
              <w:adjustRightInd/>
              <w:snapToGrid/>
              <w:spacing w:before="145"/>
              <w:ind w:left="164" w:right="158"/>
              <w:rPr>
                <w:rFonts w:ascii="Times New Roman" w:hAnsi="Times New Roman"/>
                <w:color w:val="auto"/>
              </w:rPr>
            </w:pPr>
            <w:r>
              <w:rPr>
                <w:rFonts w:ascii="Times New Roman" w:hAnsi="Times New Roman"/>
                <w:color w:val="auto"/>
              </w:rPr>
              <w:t>科研工作业绩</w:t>
            </w:r>
          </w:p>
        </w:tc>
        <w:tc>
          <w:tcPr>
            <w:tcW w:w="754" w:type="dxa"/>
            <w:shd w:val="clear" w:color="auto" w:fill="auto"/>
            <w:vAlign w:val="center"/>
          </w:tcPr>
          <w:p w14:paraId="00504033">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教学及科研成果奖</w:t>
            </w:r>
          </w:p>
        </w:tc>
        <w:tc>
          <w:tcPr>
            <w:tcW w:w="9011" w:type="dxa"/>
            <w:shd w:val="clear" w:color="auto" w:fill="auto"/>
            <w:vAlign w:val="center"/>
          </w:tcPr>
          <w:p w14:paraId="09D0B1E8">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w:t>
            </w:r>
            <w:r>
              <w:rPr>
                <w:rFonts w:ascii="Times New Roman" w:hAnsi="Times New Roman"/>
                <w:color w:val="auto"/>
              </w:rPr>
              <w:t>国家级</w:t>
            </w:r>
            <w:r>
              <w:rPr>
                <w:rFonts w:hint="eastAsia" w:ascii="Times New Roman" w:hAnsi="Times New Roman"/>
                <w:color w:val="auto"/>
              </w:rPr>
              <w:t>特等奖：第1名（70分），第2-3名（42分），第4-6名（28分），第7-10名（14分），第11-20名（7分）</w:t>
            </w:r>
          </w:p>
          <w:p w14:paraId="13F26FE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2.国家级</w:t>
            </w:r>
            <w:r>
              <w:rPr>
                <w:rFonts w:ascii="Times New Roman" w:hAnsi="Times New Roman"/>
                <w:color w:val="auto"/>
              </w:rPr>
              <w:t>一等奖</w:t>
            </w:r>
            <w:r>
              <w:rPr>
                <w:rFonts w:hint="eastAsia" w:ascii="Times New Roman" w:hAnsi="Times New Roman"/>
                <w:color w:val="auto"/>
              </w:rPr>
              <w:t>：第1名</w:t>
            </w:r>
            <w:r>
              <w:rPr>
                <w:rFonts w:ascii="Times New Roman" w:hAnsi="Times New Roman"/>
                <w:color w:val="auto"/>
              </w:rPr>
              <w:t>（</w:t>
            </w:r>
            <w:r>
              <w:rPr>
                <w:rFonts w:ascii="Times New Roman" w:hAnsi="Times New Roman" w:eastAsia="Times New Roman"/>
                <w:color w:val="auto"/>
              </w:rPr>
              <w:t>50</w:t>
            </w:r>
            <w:r>
              <w:rPr>
                <w:rFonts w:ascii="Times New Roman" w:hAnsi="Times New Roman"/>
                <w:color w:val="auto"/>
              </w:rPr>
              <w:t>分），</w:t>
            </w:r>
            <w:r>
              <w:rPr>
                <w:rFonts w:hint="eastAsia" w:ascii="Times New Roman" w:hAnsi="Times New Roman"/>
                <w:color w:val="auto"/>
              </w:rPr>
              <w:t>第2-3名（30分），第4-6名（20分），第7-10名（10分），第11-20名（5分）</w:t>
            </w:r>
          </w:p>
          <w:p w14:paraId="4B65CF2D">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3.国家级</w:t>
            </w:r>
            <w:r>
              <w:rPr>
                <w:rFonts w:ascii="Times New Roman" w:hAnsi="Times New Roman"/>
                <w:color w:val="auto"/>
              </w:rPr>
              <w:t>二等奖</w:t>
            </w:r>
            <w:r>
              <w:rPr>
                <w:rFonts w:hint="eastAsia" w:ascii="Times New Roman" w:hAnsi="Times New Roman"/>
                <w:color w:val="auto"/>
              </w:rPr>
              <w:t>：第1名</w:t>
            </w:r>
            <w:r>
              <w:rPr>
                <w:rFonts w:ascii="Times New Roman" w:hAnsi="Times New Roman"/>
                <w:color w:val="auto"/>
              </w:rPr>
              <w:t>（</w:t>
            </w:r>
            <w:r>
              <w:rPr>
                <w:rFonts w:ascii="Times New Roman" w:hAnsi="Times New Roman" w:eastAsia="Times New Roman"/>
                <w:color w:val="auto"/>
              </w:rPr>
              <w:t>30</w:t>
            </w:r>
            <w:r>
              <w:rPr>
                <w:rFonts w:ascii="Times New Roman" w:hAnsi="Times New Roman"/>
                <w:color w:val="auto"/>
              </w:rPr>
              <w:t>分），</w:t>
            </w:r>
            <w:r>
              <w:rPr>
                <w:rFonts w:hint="eastAsia" w:ascii="Times New Roman" w:hAnsi="Times New Roman"/>
                <w:color w:val="auto"/>
              </w:rPr>
              <w:t>第2-3名（18分），第4-6名（12分），第7-10名（6分），第11-20名（3分）</w:t>
            </w:r>
          </w:p>
          <w:p w14:paraId="51756FE9">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4.国家级三等奖：第1名（25分），第2-3名（15分），第4-6名（10分），第7-10名（5分），第11-20名（2.5分）</w:t>
            </w:r>
          </w:p>
          <w:p w14:paraId="19B713A0">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5.省部级特等奖：第1名（25分），第2-3名（15分），第4-6名（10分），第7-10名（5分）</w:t>
            </w:r>
          </w:p>
          <w:p w14:paraId="42FC4ED6">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6.</w:t>
            </w:r>
            <w:r>
              <w:rPr>
                <w:rFonts w:ascii="Times New Roman" w:hAnsi="Times New Roman"/>
                <w:color w:val="auto"/>
              </w:rPr>
              <w:t>省部级一等奖</w:t>
            </w:r>
            <w:r>
              <w:rPr>
                <w:rFonts w:hint="eastAsia" w:ascii="Times New Roman" w:hAnsi="Times New Roman"/>
                <w:color w:val="auto"/>
              </w:rPr>
              <w:t>：第1名</w:t>
            </w:r>
            <w:r>
              <w:rPr>
                <w:rFonts w:ascii="Times New Roman" w:hAnsi="Times New Roman"/>
                <w:color w:val="auto"/>
              </w:rPr>
              <w:t>（</w:t>
            </w:r>
            <w:r>
              <w:rPr>
                <w:rFonts w:hint="eastAsia" w:ascii="Times New Roman" w:hAnsi="Times New Roman"/>
                <w:color w:val="auto"/>
              </w:rPr>
              <w:t>20</w:t>
            </w:r>
            <w:r>
              <w:rPr>
                <w:rFonts w:ascii="Times New Roman" w:hAnsi="Times New Roman"/>
                <w:color w:val="auto"/>
              </w:rPr>
              <w:t>分），</w:t>
            </w:r>
            <w:r>
              <w:rPr>
                <w:rFonts w:hint="eastAsia" w:ascii="Times New Roman" w:hAnsi="Times New Roman"/>
                <w:color w:val="auto"/>
              </w:rPr>
              <w:t>第2-3名（12分），第4-6名（8分），第7-10名（4分）</w:t>
            </w:r>
          </w:p>
          <w:p w14:paraId="7ECE936B">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7.</w:t>
            </w:r>
            <w:r>
              <w:rPr>
                <w:rFonts w:ascii="Times New Roman" w:hAnsi="Times New Roman"/>
                <w:color w:val="auto"/>
              </w:rPr>
              <w:t>省部级二等奖</w:t>
            </w:r>
            <w:r>
              <w:rPr>
                <w:rFonts w:hint="eastAsia" w:ascii="Times New Roman" w:hAnsi="Times New Roman"/>
                <w:color w:val="auto"/>
              </w:rPr>
              <w:t>：第1名</w:t>
            </w:r>
            <w:r>
              <w:rPr>
                <w:rFonts w:ascii="Times New Roman" w:hAnsi="Times New Roman"/>
                <w:color w:val="auto"/>
              </w:rPr>
              <w:t>（</w:t>
            </w:r>
            <w:r>
              <w:rPr>
                <w:rFonts w:hint="eastAsia" w:ascii="Times New Roman" w:hAnsi="Times New Roman"/>
                <w:color w:val="auto"/>
              </w:rPr>
              <w:t>15</w:t>
            </w:r>
            <w:r>
              <w:rPr>
                <w:rFonts w:ascii="Times New Roman" w:hAnsi="Times New Roman"/>
                <w:color w:val="auto"/>
              </w:rPr>
              <w:t>分），</w:t>
            </w:r>
            <w:r>
              <w:rPr>
                <w:rFonts w:hint="eastAsia" w:ascii="Times New Roman" w:hAnsi="Times New Roman"/>
                <w:color w:val="auto"/>
              </w:rPr>
              <w:t>第2-3名（9分），第4-6名（6分），第7-10名（3分）</w:t>
            </w:r>
          </w:p>
          <w:p w14:paraId="6A882CED">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8.</w:t>
            </w:r>
            <w:r>
              <w:rPr>
                <w:rFonts w:ascii="Times New Roman" w:hAnsi="Times New Roman"/>
                <w:color w:val="auto"/>
              </w:rPr>
              <w:t>省部级三等奖</w:t>
            </w:r>
            <w:r>
              <w:rPr>
                <w:rFonts w:hint="eastAsia" w:ascii="Times New Roman" w:hAnsi="Times New Roman"/>
                <w:color w:val="auto"/>
              </w:rPr>
              <w:t>：第1名</w:t>
            </w: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分）</w:t>
            </w:r>
            <w:r>
              <w:rPr>
                <w:rFonts w:hint="eastAsia" w:ascii="Times New Roman" w:hAnsi="Times New Roman"/>
                <w:color w:val="auto"/>
              </w:rPr>
              <w:t>，第2-3名（6分），第4-6名（4分），第7-10名（2分）</w:t>
            </w:r>
          </w:p>
          <w:p w14:paraId="18017067">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9</w:t>
            </w:r>
            <w:r>
              <w:rPr>
                <w:rFonts w:ascii="Times New Roman" w:hAnsi="Times New Roman"/>
                <w:color w:val="auto"/>
              </w:rPr>
              <w:t>.市</w:t>
            </w:r>
            <w:r>
              <w:rPr>
                <w:rFonts w:hint="eastAsia" w:ascii="Times New Roman" w:hAnsi="Times New Roman"/>
                <w:color w:val="auto"/>
              </w:rPr>
              <w:t>/</w:t>
            </w:r>
            <w:r>
              <w:rPr>
                <w:rFonts w:ascii="Times New Roman" w:hAnsi="Times New Roman"/>
                <w:color w:val="auto"/>
              </w:rPr>
              <w:t>院级一等奖</w:t>
            </w:r>
            <w:r>
              <w:rPr>
                <w:rFonts w:hint="eastAsia" w:ascii="Times New Roman" w:hAnsi="Times New Roman"/>
                <w:color w:val="auto"/>
              </w:rPr>
              <w:t>：第1名</w:t>
            </w:r>
            <w:r>
              <w:rPr>
                <w:rFonts w:ascii="Times New Roman" w:hAnsi="Times New Roman"/>
                <w:color w:val="auto"/>
              </w:rPr>
              <w:t>（</w:t>
            </w:r>
            <w:r>
              <w:rPr>
                <w:rFonts w:ascii="Times New Roman" w:hAnsi="Times New Roman" w:eastAsia="Times New Roman"/>
                <w:color w:val="auto"/>
              </w:rPr>
              <w:t>3</w:t>
            </w:r>
            <w:r>
              <w:rPr>
                <w:rFonts w:ascii="Times New Roman" w:hAnsi="Times New Roman"/>
                <w:color w:val="auto"/>
              </w:rPr>
              <w:t>分），</w:t>
            </w:r>
            <w:r>
              <w:rPr>
                <w:rFonts w:hint="eastAsia" w:ascii="Times New Roman" w:hAnsi="Times New Roman"/>
                <w:color w:val="auto"/>
              </w:rPr>
              <w:t>第2-3名（1.8分），第4-6名（1.2分）</w:t>
            </w:r>
          </w:p>
          <w:p w14:paraId="6568BA3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10.</w:t>
            </w:r>
            <w:r>
              <w:rPr>
                <w:rFonts w:ascii="Times New Roman" w:hAnsi="Times New Roman"/>
                <w:color w:val="auto"/>
              </w:rPr>
              <w:t>市</w:t>
            </w:r>
            <w:r>
              <w:rPr>
                <w:rFonts w:hint="eastAsia" w:ascii="Times New Roman" w:hAnsi="Times New Roman"/>
                <w:color w:val="auto"/>
              </w:rPr>
              <w:t>/</w:t>
            </w:r>
            <w:r>
              <w:rPr>
                <w:rFonts w:ascii="Times New Roman" w:hAnsi="Times New Roman"/>
                <w:color w:val="auto"/>
              </w:rPr>
              <w:t>院级二等奖</w:t>
            </w:r>
            <w:r>
              <w:rPr>
                <w:rFonts w:hint="eastAsia" w:ascii="Times New Roman" w:hAnsi="Times New Roman"/>
                <w:color w:val="auto"/>
              </w:rPr>
              <w:t>：第1名</w:t>
            </w:r>
            <w:r>
              <w:rPr>
                <w:rFonts w:ascii="Times New Roman" w:hAnsi="Times New Roman"/>
                <w:color w:val="auto"/>
              </w:rPr>
              <w:t>（</w:t>
            </w:r>
            <w:r>
              <w:rPr>
                <w:rFonts w:ascii="Times New Roman" w:hAnsi="Times New Roman" w:eastAsia="Times New Roman"/>
                <w:color w:val="auto"/>
              </w:rPr>
              <w:t>2</w:t>
            </w:r>
            <w:r>
              <w:rPr>
                <w:rFonts w:ascii="Times New Roman" w:hAnsi="Times New Roman"/>
                <w:color w:val="auto"/>
              </w:rPr>
              <w:t>分），</w:t>
            </w:r>
            <w:r>
              <w:rPr>
                <w:rFonts w:hint="eastAsia" w:ascii="Times New Roman" w:hAnsi="Times New Roman"/>
                <w:color w:val="auto"/>
              </w:rPr>
              <w:t>第2-3名（1.2分），第4-6名（0.8分）</w:t>
            </w:r>
          </w:p>
          <w:p w14:paraId="58FB493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11.</w:t>
            </w:r>
            <w:r>
              <w:rPr>
                <w:rFonts w:ascii="Times New Roman" w:hAnsi="Times New Roman"/>
                <w:color w:val="auto"/>
              </w:rPr>
              <w:t>市</w:t>
            </w:r>
            <w:r>
              <w:rPr>
                <w:rFonts w:hint="eastAsia" w:ascii="Times New Roman" w:hAnsi="Times New Roman"/>
                <w:color w:val="auto"/>
              </w:rPr>
              <w:t>/</w:t>
            </w:r>
            <w:r>
              <w:rPr>
                <w:rFonts w:ascii="Times New Roman" w:hAnsi="Times New Roman"/>
                <w:color w:val="auto"/>
              </w:rPr>
              <w:t>院级三等奖</w:t>
            </w:r>
            <w:r>
              <w:rPr>
                <w:rFonts w:hint="eastAsia" w:ascii="Times New Roman" w:hAnsi="Times New Roman"/>
                <w:color w:val="auto"/>
              </w:rPr>
              <w:t>：第1名</w:t>
            </w:r>
            <w:r>
              <w:rPr>
                <w:rFonts w:ascii="Times New Roman" w:hAnsi="Times New Roman"/>
                <w:color w:val="auto"/>
              </w:rPr>
              <w:t>（</w:t>
            </w:r>
            <w:r>
              <w:rPr>
                <w:rFonts w:ascii="Times New Roman" w:hAnsi="Times New Roman" w:eastAsia="Times New Roman"/>
                <w:color w:val="auto"/>
              </w:rPr>
              <w:t>1</w:t>
            </w:r>
            <w:r>
              <w:rPr>
                <w:rFonts w:ascii="Times New Roman" w:hAnsi="Times New Roman"/>
                <w:color w:val="auto"/>
              </w:rPr>
              <w:t>分），</w:t>
            </w:r>
            <w:r>
              <w:rPr>
                <w:rFonts w:hint="eastAsia" w:ascii="Times New Roman" w:hAnsi="Times New Roman"/>
                <w:color w:val="auto"/>
              </w:rPr>
              <w:t>第2-3名（0.6分），第4-6名（0.4分）</w:t>
            </w:r>
          </w:p>
          <w:p w14:paraId="5F2B81D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389575C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1.累计计分，最高限3项</w:t>
            </w:r>
            <w:r>
              <w:rPr>
                <w:rFonts w:hint="eastAsia" w:ascii="Times New Roman" w:hAnsi="Times New Roman" w:eastAsia="楷体"/>
                <w:color w:val="auto"/>
              </w:rPr>
              <w:t>；</w:t>
            </w:r>
          </w:p>
          <w:p w14:paraId="0DC95D8D">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2.认定标准以附录5为准</w:t>
            </w:r>
            <w:r>
              <w:rPr>
                <w:rFonts w:hint="eastAsia" w:ascii="Times New Roman" w:hAnsi="Times New Roman" w:eastAsia="楷体"/>
                <w:color w:val="auto"/>
              </w:rPr>
              <w:t>；</w:t>
            </w:r>
          </w:p>
          <w:p w14:paraId="48AAEEB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w:t>
            </w:r>
            <w:r>
              <w:rPr>
                <w:rFonts w:ascii="Times New Roman" w:hAnsi="Times New Roman" w:eastAsia="楷体"/>
                <w:color w:val="auto"/>
              </w:rPr>
              <w:t>成果内容应与申报专业相关</w:t>
            </w:r>
            <w:r>
              <w:rPr>
                <w:rFonts w:hint="eastAsia" w:ascii="Times New Roman" w:hAnsi="Times New Roman" w:eastAsia="楷体"/>
                <w:color w:val="auto"/>
              </w:rPr>
              <w:t>；</w:t>
            </w:r>
          </w:p>
          <w:p w14:paraId="661CE3E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4.人员名单以获奖证书为准；</w:t>
            </w:r>
          </w:p>
          <w:p w14:paraId="1605FDA8">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5.主持人为外单位的，本校教师不计分。</w:t>
            </w:r>
          </w:p>
        </w:tc>
      </w:tr>
      <w:tr w14:paraId="4A8F1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3" w:type="dxa"/>
            <w:vMerge w:val="continue"/>
            <w:vAlign w:val="center"/>
          </w:tcPr>
          <w:p w14:paraId="314A668C">
            <w:pPr>
              <w:pStyle w:val="6"/>
              <w:keepNext w:val="0"/>
              <w:keepLines w:val="0"/>
              <w:pageBreakBefore w:val="0"/>
              <w:widowControl w:val="0"/>
              <w:kinsoku/>
              <w:wordWrap/>
              <w:overflowPunct/>
              <w:topLinePunct w:val="0"/>
              <w:bidi w:val="0"/>
              <w:adjustRightInd/>
              <w:snapToGrid/>
              <w:spacing w:before="145"/>
              <w:ind w:left="164" w:right="158"/>
              <w:rPr>
                <w:rFonts w:ascii="Times New Roman" w:hAnsi="Times New Roman"/>
                <w:color w:val="auto"/>
              </w:rPr>
            </w:pPr>
          </w:p>
        </w:tc>
        <w:tc>
          <w:tcPr>
            <w:tcW w:w="754" w:type="dxa"/>
            <w:vAlign w:val="center"/>
          </w:tcPr>
          <w:p w14:paraId="50587133">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发表</w:t>
            </w:r>
          </w:p>
          <w:p w14:paraId="18528F74">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论文</w:t>
            </w:r>
          </w:p>
        </w:tc>
        <w:tc>
          <w:tcPr>
            <w:tcW w:w="9011" w:type="dxa"/>
            <w:vAlign w:val="center"/>
          </w:tcPr>
          <w:p w14:paraId="2BE36B87">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w:t>
            </w:r>
            <w:r>
              <w:rPr>
                <w:rFonts w:ascii="Times New Roman" w:hAnsi="Times New Roman" w:eastAsia="Times New Roman"/>
                <w:color w:val="auto"/>
              </w:rPr>
              <w:t>SCI</w:t>
            </w:r>
            <w:r>
              <w:rPr>
                <w:rFonts w:ascii="Times New Roman" w:hAnsi="Times New Roman"/>
                <w:color w:val="auto"/>
              </w:rPr>
              <w:t>E和</w:t>
            </w:r>
            <w:r>
              <w:rPr>
                <w:rFonts w:ascii="Times New Roman" w:hAnsi="Times New Roman" w:eastAsia="Times New Roman"/>
                <w:color w:val="auto"/>
              </w:rPr>
              <w:t>SSCI</w:t>
            </w:r>
            <w:r>
              <w:rPr>
                <w:rFonts w:ascii="Times New Roman" w:hAnsi="Times New Roman"/>
                <w:color w:val="auto"/>
              </w:rPr>
              <w:t>一、二区检索论文</w:t>
            </w:r>
            <w:r>
              <w:rPr>
                <w:rFonts w:hint="eastAsia" w:ascii="Times New Roman" w:hAnsi="Times New Roman"/>
                <w:color w:val="auto"/>
                <w:spacing w:val="-17"/>
              </w:rPr>
              <w:t>：</w:t>
            </w:r>
            <w:r>
              <w:rPr>
                <w:rFonts w:ascii="Times New Roman" w:hAnsi="Times New Roman"/>
                <w:color w:val="auto"/>
                <w:spacing w:val="-17"/>
              </w:rPr>
              <w:t>第</w:t>
            </w:r>
            <w:r>
              <w:rPr>
                <w:rFonts w:ascii="Times New Roman" w:hAnsi="Times New Roman" w:eastAsia="Times New Roman"/>
                <w:color w:val="auto"/>
              </w:rPr>
              <w:t>1</w:t>
            </w:r>
            <w:r>
              <w:rPr>
                <w:rFonts w:ascii="Times New Roman" w:hAnsi="Times New Roman"/>
                <w:color w:val="auto"/>
              </w:rPr>
              <w:t>名（</w:t>
            </w:r>
            <w:r>
              <w:rPr>
                <w:rFonts w:hint="eastAsia" w:ascii="Times New Roman" w:hAnsi="Times New Roman"/>
                <w:color w:val="auto"/>
              </w:rPr>
              <w:t>3</w:t>
            </w:r>
            <w:r>
              <w:rPr>
                <w:rFonts w:ascii="Times New Roman" w:hAnsi="Times New Roman" w:eastAsia="Times New Roman"/>
                <w:color w:val="auto"/>
              </w:rPr>
              <w:t>0</w:t>
            </w:r>
            <w:r>
              <w:rPr>
                <w:rFonts w:ascii="Times New Roman" w:hAnsi="Times New Roman"/>
                <w:color w:val="auto"/>
              </w:rPr>
              <w:t>分）</w:t>
            </w:r>
            <w:r>
              <w:rPr>
                <w:rFonts w:ascii="Times New Roman" w:hAnsi="Times New Roman"/>
                <w:color w:val="auto"/>
                <w:spacing w:val="-17"/>
              </w:rPr>
              <w:t>，第</w:t>
            </w:r>
            <w:r>
              <w:rPr>
                <w:rFonts w:ascii="Times New Roman" w:hAnsi="Times New Roman" w:eastAsia="Times New Roman"/>
                <w:color w:val="auto"/>
              </w:rPr>
              <w:t>2-3</w:t>
            </w:r>
            <w:r>
              <w:rPr>
                <w:rFonts w:ascii="Times New Roman" w:hAnsi="Times New Roman"/>
                <w:color w:val="auto"/>
              </w:rPr>
              <w:t>名（</w:t>
            </w:r>
            <w:r>
              <w:rPr>
                <w:rFonts w:hint="eastAsia" w:ascii="Times New Roman" w:hAnsi="Times New Roman"/>
                <w:color w:val="auto"/>
              </w:rPr>
              <w:t>18</w:t>
            </w:r>
            <w:r>
              <w:rPr>
                <w:rFonts w:ascii="Times New Roman" w:hAnsi="Times New Roman"/>
                <w:color w:val="auto"/>
              </w:rPr>
              <w:t>分）</w:t>
            </w:r>
            <w:r>
              <w:rPr>
                <w:rFonts w:hint="eastAsia" w:ascii="Times New Roman" w:hAnsi="Times New Roman"/>
                <w:color w:val="auto"/>
              </w:rPr>
              <w:t>，</w:t>
            </w:r>
            <w:r>
              <w:rPr>
                <w:rFonts w:ascii="Times New Roman" w:hAnsi="Times New Roman"/>
                <w:color w:val="auto"/>
                <w:spacing w:val="-17"/>
              </w:rPr>
              <w:t>第</w:t>
            </w:r>
            <w:r>
              <w:rPr>
                <w:rFonts w:hint="eastAsia" w:ascii="Times New Roman" w:hAnsi="Times New Roman"/>
                <w:color w:val="auto"/>
              </w:rPr>
              <w:t>4</w:t>
            </w:r>
            <w:r>
              <w:rPr>
                <w:rFonts w:ascii="Times New Roman" w:hAnsi="Times New Roman" w:eastAsia="Times New Roman"/>
                <w:color w:val="auto"/>
              </w:rPr>
              <w:t>-</w:t>
            </w:r>
            <w:r>
              <w:rPr>
                <w:rFonts w:hint="eastAsia" w:ascii="Times New Roman" w:hAnsi="Times New Roman"/>
                <w:color w:val="auto"/>
              </w:rPr>
              <w:t>5</w:t>
            </w:r>
            <w:r>
              <w:rPr>
                <w:rFonts w:ascii="Times New Roman" w:hAnsi="Times New Roman"/>
                <w:color w:val="auto"/>
              </w:rPr>
              <w:t>名</w:t>
            </w:r>
            <w:r>
              <w:rPr>
                <w:rFonts w:hint="eastAsia" w:ascii="Times New Roman" w:hAnsi="Times New Roman"/>
                <w:color w:val="auto"/>
              </w:rPr>
              <w:t>（12分）</w:t>
            </w:r>
          </w:p>
          <w:p w14:paraId="206DBC8A">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2.附录7</w:t>
            </w:r>
            <w:r>
              <w:rPr>
                <w:rFonts w:ascii="Times New Roman" w:hAnsi="Times New Roman"/>
                <w:color w:val="auto"/>
              </w:rPr>
              <w:t>中</w:t>
            </w:r>
            <w:r>
              <w:rPr>
                <w:rFonts w:hint="eastAsia" w:ascii="Times New Roman" w:hAnsi="Times New Roman"/>
                <w:color w:val="auto"/>
              </w:rPr>
              <w:t>，</w:t>
            </w:r>
            <w:r>
              <w:rPr>
                <w:rFonts w:ascii="Times New Roman" w:hAnsi="Times New Roman"/>
                <w:color w:val="auto"/>
              </w:rPr>
              <w:t>重要影响论文第2-</w:t>
            </w:r>
            <w:r>
              <w:rPr>
                <w:rFonts w:hint="eastAsia" w:ascii="Times New Roman" w:hAnsi="Times New Roman"/>
                <w:color w:val="auto"/>
              </w:rPr>
              <w:t>9</w:t>
            </w:r>
            <w:r>
              <w:rPr>
                <w:rFonts w:ascii="Times New Roman" w:hAnsi="Times New Roman"/>
                <w:color w:val="auto"/>
              </w:rPr>
              <w:t>条中的论文</w:t>
            </w:r>
            <w:r>
              <w:rPr>
                <w:rFonts w:hint="eastAsia" w:ascii="Times New Roman" w:hAnsi="Times New Roman"/>
                <w:color w:val="auto"/>
              </w:rPr>
              <w:t>：</w:t>
            </w:r>
            <w:r>
              <w:rPr>
                <w:rFonts w:ascii="Times New Roman" w:hAnsi="Times New Roman"/>
                <w:color w:val="auto"/>
                <w:spacing w:val="-17"/>
              </w:rPr>
              <w:t>第</w:t>
            </w:r>
            <w:r>
              <w:rPr>
                <w:rFonts w:ascii="Times New Roman" w:hAnsi="Times New Roman" w:eastAsia="Times New Roman"/>
                <w:color w:val="auto"/>
              </w:rPr>
              <w:t>1</w:t>
            </w:r>
            <w:r>
              <w:rPr>
                <w:rFonts w:ascii="Times New Roman" w:hAnsi="Times New Roman"/>
                <w:color w:val="auto"/>
              </w:rPr>
              <w:t>名（</w:t>
            </w:r>
            <w:r>
              <w:rPr>
                <w:rFonts w:hint="eastAsia" w:ascii="Times New Roman" w:hAnsi="Times New Roman"/>
                <w:color w:val="auto"/>
              </w:rPr>
              <w:t>15</w:t>
            </w:r>
            <w:r>
              <w:rPr>
                <w:rFonts w:ascii="Times New Roman" w:hAnsi="Times New Roman"/>
                <w:color w:val="auto"/>
              </w:rPr>
              <w:t>分）</w:t>
            </w:r>
            <w:r>
              <w:rPr>
                <w:rFonts w:ascii="Times New Roman" w:hAnsi="Times New Roman"/>
                <w:color w:val="auto"/>
                <w:spacing w:val="-17"/>
              </w:rPr>
              <w:t>，第</w:t>
            </w:r>
            <w:r>
              <w:rPr>
                <w:rFonts w:ascii="Times New Roman" w:hAnsi="Times New Roman" w:eastAsia="Times New Roman"/>
                <w:color w:val="auto"/>
              </w:rPr>
              <w:t>2-3</w:t>
            </w:r>
            <w:r>
              <w:rPr>
                <w:rFonts w:ascii="Times New Roman" w:hAnsi="Times New Roman"/>
                <w:color w:val="auto"/>
              </w:rPr>
              <w:t>名（</w:t>
            </w:r>
            <w:r>
              <w:rPr>
                <w:rFonts w:hint="eastAsia" w:ascii="Times New Roman" w:hAnsi="Times New Roman"/>
                <w:color w:val="auto"/>
              </w:rPr>
              <w:t>9</w:t>
            </w:r>
            <w:r>
              <w:rPr>
                <w:rFonts w:ascii="Times New Roman" w:hAnsi="Times New Roman"/>
                <w:color w:val="auto"/>
              </w:rPr>
              <w:t>分）</w:t>
            </w:r>
            <w:r>
              <w:rPr>
                <w:rFonts w:hint="eastAsia" w:ascii="Times New Roman" w:hAnsi="Times New Roman"/>
                <w:color w:val="auto"/>
              </w:rPr>
              <w:t>，</w:t>
            </w:r>
            <w:r>
              <w:rPr>
                <w:rFonts w:ascii="Times New Roman" w:hAnsi="Times New Roman"/>
                <w:color w:val="auto"/>
                <w:spacing w:val="-17"/>
              </w:rPr>
              <w:t>第</w:t>
            </w:r>
            <w:r>
              <w:rPr>
                <w:rFonts w:hint="eastAsia" w:ascii="Times New Roman" w:hAnsi="Times New Roman"/>
                <w:color w:val="auto"/>
              </w:rPr>
              <w:t>4</w:t>
            </w:r>
            <w:r>
              <w:rPr>
                <w:rFonts w:ascii="Times New Roman" w:hAnsi="Times New Roman" w:eastAsia="Times New Roman"/>
                <w:color w:val="auto"/>
              </w:rPr>
              <w:t>-</w:t>
            </w:r>
            <w:r>
              <w:rPr>
                <w:rFonts w:hint="eastAsia" w:ascii="Times New Roman" w:hAnsi="Times New Roman"/>
                <w:color w:val="auto"/>
              </w:rPr>
              <w:t>5</w:t>
            </w:r>
            <w:r>
              <w:rPr>
                <w:rFonts w:ascii="Times New Roman" w:hAnsi="Times New Roman"/>
                <w:color w:val="auto"/>
              </w:rPr>
              <w:t>名</w:t>
            </w:r>
            <w:r>
              <w:rPr>
                <w:rFonts w:hint="eastAsia" w:ascii="Times New Roman" w:hAnsi="Times New Roman"/>
                <w:color w:val="auto"/>
              </w:rPr>
              <w:t>（6分）</w:t>
            </w:r>
          </w:p>
          <w:p w14:paraId="2CA162E8">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3.附录7</w:t>
            </w:r>
            <w:r>
              <w:rPr>
                <w:rFonts w:ascii="Times New Roman" w:hAnsi="Times New Roman"/>
                <w:color w:val="auto"/>
              </w:rPr>
              <w:t>中</w:t>
            </w:r>
            <w:r>
              <w:rPr>
                <w:rFonts w:hint="eastAsia" w:ascii="Times New Roman" w:hAnsi="Times New Roman"/>
                <w:color w:val="auto"/>
              </w:rPr>
              <w:t>，</w:t>
            </w:r>
            <w:r>
              <w:rPr>
                <w:rFonts w:ascii="Times New Roman" w:hAnsi="Times New Roman"/>
                <w:color w:val="auto"/>
              </w:rPr>
              <w:t>较大影响论文</w:t>
            </w:r>
            <w:r>
              <w:rPr>
                <w:rFonts w:hint="eastAsia" w:ascii="Times New Roman" w:hAnsi="Times New Roman"/>
                <w:color w:val="auto"/>
              </w:rPr>
              <w:t>第</w:t>
            </w:r>
            <w:r>
              <w:rPr>
                <w:rFonts w:ascii="Times New Roman" w:hAnsi="Times New Roman"/>
                <w:color w:val="auto"/>
              </w:rPr>
              <w:t>1-</w:t>
            </w:r>
            <w:r>
              <w:rPr>
                <w:rFonts w:hint="eastAsia" w:ascii="Times New Roman" w:hAnsi="Times New Roman"/>
                <w:color w:val="auto"/>
              </w:rPr>
              <w:t>3</w:t>
            </w:r>
            <w:r>
              <w:rPr>
                <w:rFonts w:ascii="Times New Roman" w:hAnsi="Times New Roman"/>
                <w:color w:val="auto"/>
              </w:rPr>
              <w:t>条中的</w:t>
            </w:r>
            <w:r>
              <w:rPr>
                <w:rFonts w:hint="eastAsia" w:ascii="Times New Roman" w:hAnsi="Times New Roman"/>
                <w:color w:val="auto"/>
              </w:rPr>
              <w:t>论文：</w:t>
            </w:r>
            <w:r>
              <w:rPr>
                <w:rFonts w:ascii="Times New Roman" w:hAnsi="Times New Roman"/>
                <w:color w:val="auto"/>
                <w:spacing w:val="-17"/>
              </w:rPr>
              <w:t>第</w:t>
            </w:r>
            <w:r>
              <w:rPr>
                <w:rFonts w:ascii="Times New Roman" w:hAnsi="Times New Roman" w:eastAsia="Times New Roman"/>
                <w:color w:val="auto"/>
              </w:rPr>
              <w:t>1</w:t>
            </w:r>
            <w:r>
              <w:rPr>
                <w:rFonts w:ascii="Times New Roman" w:hAnsi="Times New Roman"/>
                <w:color w:val="auto"/>
              </w:rPr>
              <w:t>名（</w:t>
            </w:r>
            <w:r>
              <w:rPr>
                <w:rFonts w:hint="eastAsia" w:ascii="Times New Roman" w:hAnsi="Times New Roman"/>
                <w:color w:val="auto"/>
              </w:rPr>
              <w:t>12</w:t>
            </w:r>
            <w:r>
              <w:rPr>
                <w:rFonts w:ascii="Times New Roman" w:hAnsi="Times New Roman"/>
                <w:color w:val="auto"/>
              </w:rPr>
              <w:t>分）</w:t>
            </w:r>
            <w:r>
              <w:rPr>
                <w:rFonts w:ascii="Times New Roman" w:hAnsi="Times New Roman"/>
                <w:color w:val="auto"/>
                <w:spacing w:val="-17"/>
              </w:rPr>
              <w:t>，第</w:t>
            </w:r>
            <w:r>
              <w:rPr>
                <w:rFonts w:ascii="Times New Roman" w:hAnsi="Times New Roman" w:eastAsia="Times New Roman"/>
                <w:color w:val="auto"/>
              </w:rPr>
              <w:t>2-3</w:t>
            </w:r>
            <w:r>
              <w:rPr>
                <w:rFonts w:ascii="Times New Roman" w:hAnsi="Times New Roman"/>
                <w:color w:val="auto"/>
              </w:rPr>
              <w:t>名（</w:t>
            </w:r>
            <w:r>
              <w:rPr>
                <w:rFonts w:hint="eastAsia" w:ascii="Times New Roman" w:hAnsi="Times New Roman"/>
                <w:color w:val="auto"/>
              </w:rPr>
              <w:t>7.2</w:t>
            </w:r>
            <w:r>
              <w:rPr>
                <w:rFonts w:ascii="Times New Roman" w:hAnsi="Times New Roman"/>
                <w:color w:val="auto"/>
              </w:rPr>
              <w:t>分）</w:t>
            </w:r>
            <w:r>
              <w:rPr>
                <w:rFonts w:hint="eastAsia" w:ascii="Times New Roman" w:hAnsi="Times New Roman"/>
                <w:color w:val="auto"/>
              </w:rPr>
              <w:t>，</w:t>
            </w:r>
            <w:r>
              <w:rPr>
                <w:rFonts w:ascii="Times New Roman" w:hAnsi="Times New Roman"/>
                <w:color w:val="auto"/>
                <w:spacing w:val="-17"/>
              </w:rPr>
              <w:t>第</w:t>
            </w:r>
            <w:r>
              <w:rPr>
                <w:rFonts w:hint="eastAsia" w:ascii="Times New Roman" w:hAnsi="Times New Roman"/>
                <w:color w:val="auto"/>
              </w:rPr>
              <w:t>4</w:t>
            </w:r>
            <w:r>
              <w:rPr>
                <w:rFonts w:ascii="Times New Roman" w:hAnsi="Times New Roman" w:eastAsia="Times New Roman"/>
                <w:color w:val="auto"/>
              </w:rPr>
              <w:t>-</w:t>
            </w:r>
            <w:r>
              <w:rPr>
                <w:rFonts w:hint="eastAsia" w:ascii="Times New Roman" w:hAnsi="Times New Roman"/>
                <w:color w:val="auto"/>
              </w:rPr>
              <w:t>5</w:t>
            </w:r>
            <w:r>
              <w:rPr>
                <w:rFonts w:ascii="Times New Roman" w:hAnsi="Times New Roman"/>
                <w:color w:val="auto"/>
              </w:rPr>
              <w:t>名</w:t>
            </w:r>
            <w:r>
              <w:rPr>
                <w:rFonts w:hint="eastAsia" w:ascii="Times New Roman" w:hAnsi="Times New Roman"/>
                <w:color w:val="auto"/>
              </w:rPr>
              <w:t>（4.8分）</w:t>
            </w:r>
          </w:p>
          <w:p w14:paraId="060DED5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08" w:firstLineChars="200"/>
              <w:rPr>
                <w:rFonts w:ascii="Times New Roman" w:hAnsi="Times New Roman"/>
                <w:color w:val="auto"/>
                <w:spacing w:val="-3"/>
              </w:rPr>
            </w:pPr>
            <w:r>
              <w:rPr>
                <w:rFonts w:hint="eastAsia" w:ascii="Times New Roman" w:hAnsi="Times New Roman"/>
                <w:color w:val="auto"/>
                <w:spacing w:val="-3"/>
              </w:rPr>
              <w:t>4</w:t>
            </w:r>
            <w:r>
              <w:rPr>
                <w:rFonts w:ascii="Times New Roman" w:hAnsi="Times New Roman"/>
                <w:color w:val="auto"/>
                <w:spacing w:val="-3"/>
              </w:rPr>
              <w:t>.普通正规期刊</w:t>
            </w:r>
            <w:r>
              <w:rPr>
                <w:rFonts w:hint="eastAsia" w:ascii="Times New Roman" w:hAnsi="Times New Roman"/>
                <w:color w:val="auto"/>
                <w:spacing w:val="-3"/>
              </w:rPr>
              <w:t>/</w:t>
            </w:r>
            <w:r>
              <w:rPr>
                <w:rFonts w:ascii="Times New Roman" w:hAnsi="Times New Roman"/>
                <w:color w:val="auto"/>
                <w:spacing w:val="-3"/>
              </w:rPr>
              <w:t>会议检索</w:t>
            </w:r>
            <w:r>
              <w:rPr>
                <w:rFonts w:hint="eastAsia" w:ascii="Times New Roman" w:hAnsi="Times New Roman"/>
                <w:color w:val="auto"/>
                <w:spacing w:val="-3"/>
              </w:rPr>
              <w:t>：</w:t>
            </w:r>
            <w:r>
              <w:rPr>
                <w:rFonts w:ascii="Times New Roman" w:hAnsi="Times New Roman"/>
                <w:color w:val="auto"/>
                <w:spacing w:val="-17"/>
              </w:rPr>
              <w:t>第</w:t>
            </w:r>
            <w:r>
              <w:rPr>
                <w:rFonts w:ascii="Times New Roman" w:hAnsi="Times New Roman" w:eastAsia="Times New Roman"/>
                <w:color w:val="auto"/>
              </w:rPr>
              <w:t>1</w:t>
            </w:r>
            <w:r>
              <w:rPr>
                <w:rFonts w:ascii="Times New Roman" w:hAnsi="Times New Roman"/>
                <w:color w:val="auto"/>
              </w:rPr>
              <w:t>名（</w:t>
            </w:r>
            <w:r>
              <w:rPr>
                <w:rFonts w:hint="eastAsia" w:ascii="Times New Roman" w:hAnsi="Times New Roman"/>
                <w:color w:val="auto"/>
              </w:rPr>
              <w:t>3</w:t>
            </w:r>
            <w:r>
              <w:rPr>
                <w:rFonts w:ascii="Times New Roman" w:hAnsi="Times New Roman"/>
                <w:color w:val="auto"/>
              </w:rPr>
              <w:t>分）</w:t>
            </w:r>
            <w:r>
              <w:rPr>
                <w:rFonts w:hint="eastAsia" w:ascii="Times New Roman" w:hAnsi="Times New Roman"/>
                <w:color w:val="auto"/>
              </w:rPr>
              <w:t>；</w:t>
            </w:r>
            <w:r>
              <w:rPr>
                <w:rFonts w:hint="eastAsia" w:ascii="Times New Roman" w:hAnsi="Times New Roman"/>
                <w:color w:val="auto"/>
                <w:spacing w:val="-3"/>
              </w:rPr>
              <w:t>《</w:t>
            </w:r>
            <w:r>
              <w:rPr>
                <w:rFonts w:ascii="Times New Roman" w:hAnsi="Times New Roman"/>
                <w:color w:val="auto"/>
                <w:spacing w:val="-3"/>
              </w:rPr>
              <w:t>职教论丛</w:t>
            </w:r>
            <w:r>
              <w:rPr>
                <w:rFonts w:hint="eastAsia" w:ascii="Times New Roman" w:hAnsi="Times New Roman"/>
                <w:color w:val="auto"/>
                <w:spacing w:val="-3"/>
              </w:rPr>
              <w:t>》</w:t>
            </w:r>
            <w:r>
              <w:rPr>
                <w:rFonts w:ascii="Times New Roman" w:hAnsi="Times New Roman"/>
                <w:color w:val="auto"/>
              </w:rPr>
              <w:t>中的</w:t>
            </w:r>
            <w:r>
              <w:rPr>
                <w:rFonts w:hint="eastAsia" w:ascii="Times New Roman" w:hAnsi="Times New Roman"/>
                <w:color w:val="auto"/>
              </w:rPr>
              <w:t>论文：</w:t>
            </w:r>
            <w:r>
              <w:rPr>
                <w:rFonts w:ascii="Times New Roman" w:hAnsi="Times New Roman"/>
                <w:color w:val="auto"/>
                <w:spacing w:val="-3"/>
              </w:rPr>
              <w:t>第</w:t>
            </w:r>
            <w:r>
              <w:rPr>
                <w:rFonts w:ascii="Times New Roman" w:hAnsi="Times New Roman" w:eastAsia="Times New Roman"/>
                <w:color w:val="auto"/>
              </w:rPr>
              <w:t>1</w:t>
            </w:r>
            <w:r>
              <w:rPr>
                <w:rFonts w:ascii="Times New Roman" w:hAnsi="Times New Roman"/>
                <w:color w:val="auto"/>
              </w:rPr>
              <w:t>名（</w:t>
            </w:r>
            <w:r>
              <w:rPr>
                <w:rFonts w:ascii="Times New Roman" w:hAnsi="Times New Roman" w:eastAsia="Times New Roman"/>
                <w:color w:val="auto"/>
              </w:rPr>
              <w:t>1</w:t>
            </w:r>
            <w:r>
              <w:rPr>
                <w:rFonts w:ascii="Times New Roman" w:hAnsi="Times New Roman"/>
                <w:color w:val="auto"/>
              </w:rPr>
              <w:t>分）</w:t>
            </w:r>
          </w:p>
          <w:p w14:paraId="2626C34B">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5</w:t>
            </w:r>
            <w:r>
              <w:rPr>
                <w:rFonts w:ascii="Times New Roman" w:hAnsi="Times New Roman"/>
                <w:color w:val="auto"/>
              </w:rPr>
              <w:t>.在《中国教育报》《中国青年报》《参考消息》上发表的与教育教学相关的理论文章、报道（</w:t>
            </w:r>
            <w:r>
              <w:rPr>
                <w:rFonts w:ascii="Times New Roman" w:hAnsi="Times New Roman" w:eastAsia="Times New Roman"/>
                <w:color w:val="auto"/>
              </w:rPr>
              <w:t>1500</w:t>
            </w:r>
            <w:r>
              <w:rPr>
                <w:rFonts w:ascii="Times New Roman" w:hAnsi="Times New Roman"/>
                <w:color w:val="auto"/>
              </w:rPr>
              <w:t>字以上）</w:t>
            </w:r>
            <w:r>
              <w:rPr>
                <w:rFonts w:hint="eastAsia" w:ascii="Times New Roman" w:hAnsi="Times New Roman"/>
                <w:color w:val="auto"/>
                <w:spacing w:val="-18"/>
              </w:rPr>
              <w:t>：</w:t>
            </w:r>
            <w:r>
              <w:rPr>
                <w:rFonts w:ascii="Times New Roman" w:hAnsi="Times New Roman"/>
                <w:color w:val="auto"/>
                <w:spacing w:val="-18"/>
              </w:rPr>
              <w:t>第</w:t>
            </w:r>
            <w:r>
              <w:rPr>
                <w:rFonts w:ascii="Times New Roman" w:hAnsi="Times New Roman" w:eastAsia="Times New Roman"/>
                <w:color w:val="auto"/>
              </w:rPr>
              <w:t>1</w:t>
            </w:r>
            <w:r>
              <w:rPr>
                <w:rFonts w:ascii="Times New Roman" w:hAnsi="Times New Roman"/>
                <w:color w:val="auto"/>
              </w:rPr>
              <w:t>名（</w:t>
            </w:r>
            <w:r>
              <w:rPr>
                <w:rFonts w:hint="eastAsia" w:ascii="Times New Roman" w:hAnsi="Times New Roman"/>
                <w:color w:val="auto"/>
              </w:rPr>
              <w:t>3</w:t>
            </w:r>
            <w:r>
              <w:rPr>
                <w:rFonts w:ascii="Times New Roman" w:hAnsi="Times New Roman"/>
                <w:color w:val="auto"/>
              </w:rPr>
              <w:t>分）</w:t>
            </w:r>
            <w:r>
              <w:rPr>
                <w:rFonts w:ascii="Times New Roman" w:hAnsi="Times New Roman"/>
                <w:color w:val="auto"/>
                <w:spacing w:val="-19"/>
              </w:rPr>
              <w:t>，第</w:t>
            </w:r>
            <w:r>
              <w:rPr>
                <w:rFonts w:ascii="Times New Roman" w:hAnsi="Times New Roman" w:eastAsia="Times New Roman"/>
                <w:color w:val="auto"/>
              </w:rPr>
              <w:t>2-3</w:t>
            </w:r>
            <w:r>
              <w:rPr>
                <w:rFonts w:ascii="Times New Roman" w:hAnsi="Times New Roman"/>
                <w:color w:val="auto"/>
              </w:rPr>
              <w:t>名（</w:t>
            </w:r>
            <w:r>
              <w:rPr>
                <w:rFonts w:ascii="Times New Roman" w:hAnsi="Times New Roman" w:eastAsia="Times New Roman"/>
                <w:color w:val="auto"/>
              </w:rPr>
              <w:t>1</w:t>
            </w:r>
            <w:r>
              <w:rPr>
                <w:rFonts w:hint="eastAsia" w:ascii="Times New Roman" w:hAnsi="Times New Roman"/>
                <w:color w:val="auto"/>
              </w:rPr>
              <w:t>.8</w:t>
            </w:r>
            <w:r>
              <w:rPr>
                <w:rFonts w:ascii="Times New Roman" w:hAnsi="Times New Roman"/>
                <w:color w:val="auto"/>
              </w:rPr>
              <w:t>分）</w:t>
            </w:r>
          </w:p>
          <w:p w14:paraId="082C7821">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6.在教育部“中国大学生在线”等国家级网络平台上发表的有关思想政治工作类文章（仅限学生思想政治教育专业使用）：第1名（3</w:t>
            </w:r>
            <w:r>
              <w:rPr>
                <w:rFonts w:ascii="Times New Roman" w:hAnsi="Times New Roman"/>
                <w:color w:val="auto"/>
              </w:rPr>
              <w:t>分</w:t>
            </w:r>
            <w:r>
              <w:rPr>
                <w:rFonts w:hint="eastAsia" w:ascii="Times New Roman" w:hAnsi="Times New Roman"/>
                <w:color w:val="auto"/>
              </w:rPr>
              <w:t>），</w:t>
            </w:r>
            <w:r>
              <w:rPr>
                <w:rFonts w:ascii="Times New Roman" w:hAnsi="Times New Roman"/>
                <w:color w:val="auto"/>
                <w:spacing w:val="-17"/>
              </w:rPr>
              <w:t>第</w:t>
            </w:r>
            <w:r>
              <w:rPr>
                <w:rFonts w:ascii="Times New Roman" w:hAnsi="Times New Roman" w:eastAsia="Times New Roman"/>
                <w:color w:val="auto"/>
              </w:rPr>
              <w:t>2-3</w:t>
            </w:r>
            <w:r>
              <w:rPr>
                <w:rFonts w:ascii="Times New Roman" w:hAnsi="Times New Roman"/>
                <w:color w:val="auto"/>
              </w:rPr>
              <w:t>名（</w:t>
            </w:r>
            <w:r>
              <w:rPr>
                <w:rFonts w:hint="eastAsia" w:ascii="Times New Roman" w:hAnsi="Times New Roman"/>
                <w:color w:val="auto"/>
              </w:rPr>
              <w:t>1.8</w:t>
            </w:r>
            <w:r>
              <w:rPr>
                <w:rFonts w:ascii="Times New Roman" w:hAnsi="Times New Roman"/>
                <w:color w:val="auto"/>
              </w:rPr>
              <w:t>分）</w:t>
            </w:r>
          </w:p>
          <w:p w14:paraId="0DA29FE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6DAAD178">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w:t>
            </w:r>
            <w:r>
              <w:rPr>
                <w:rFonts w:hint="eastAsia" w:ascii="Times New Roman" w:hAnsi="Times New Roman" w:eastAsia="楷体"/>
                <w:color w:val="auto"/>
              </w:rPr>
              <w:t>6</w:t>
            </w:r>
            <w:r>
              <w:rPr>
                <w:rFonts w:ascii="Times New Roman" w:hAnsi="Times New Roman" w:eastAsia="楷体"/>
                <w:color w:val="auto"/>
              </w:rPr>
              <w:t>篇</w:t>
            </w:r>
            <w:r>
              <w:rPr>
                <w:rFonts w:hint="eastAsia" w:ascii="Times New Roman" w:hAnsi="Times New Roman" w:eastAsia="楷体"/>
                <w:color w:val="auto"/>
              </w:rPr>
              <w:t>，其中《</w:t>
            </w:r>
            <w:r>
              <w:rPr>
                <w:rFonts w:ascii="Times New Roman" w:hAnsi="Times New Roman" w:eastAsia="楷体"/>
                <w:color w:val="auto"/>
              </w:rPr>
              <w:t>职教论丛</w:t>
            </w:r>
            <w:r>
              <w:rPr>
                <w:rFonts w:hint="eastAsia" w:ascii="Times New Roman" w:hAnsi="Times New Roman" w:eastAsia="楷体"/>
                <w:color w:val="auto"/>
              </w:rPr>
              <w:t>》</w:t>
            </w:r>
            <w:r>
              <w:rPr>
                <w:rFonts w:ascii="Times New Roman" w:hAnsi="Times New Roman" w:eastAsia="楷体"/>
                <w:color w:val="auto"/>
              </w:rPr>
              <w:t>限1篇</w:t>
            </w:r>
            <w:r>
              <w:rPr>
                <w:rFonts w:hint="eastAsia" w:ascii="Times New Roman" w:hAnsi="Times New Roman" w:eastAsia="楷体"/>
                <w:color w:val="auto"/>
              </w:rPr>
              <w:t>；</w:t>
            </w:r>
          </w:p>
          <w:p w14:paraId="1671F417">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2.认定标准以附录7为准；</w:t>
            </w:r>
          </w:p>
          <w:p w14:paraId="21D26B0D">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w:t>
            </w:r>
            <w:r>
              <w:rPr>
                <w:rFonts w:ascii="Times New Roman" w:hAnsi="Times New Roman" w:eastAsia="楷体"/>
                <w:color w:val="auto"/>
              </w:rPr>
              <w:t>.论文内容应与申报专业相关，论文版面要求1版以上（不包含1版）</w:t>
            </w:r>
            <w:r>
              <w:rPr>
                <w:rFonts w:hint="eastAsia" w:ascii="Times New Roman" w:hAnsi="Times New Roman" w:eastAsia="楷体"/>
                <w:color w:val="auto"/>
              </w:rPr>
              <w:t>；</w:t>
            </w:r>
          </w:p>
          <w:p w14:paraId="48354FA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w:t>
            </w:r>
            <w:r>
              <w:rPr>
                <w:rFonts w:ascii="Times New Roman" w:hAnsi="Times New Roman" w:eastAsia="楷体"/>
                <w:color w:val="auto"/>
              </w:rPr>
              <w:t>.</w:t>
            </w:r>
            <w:r>
              <w:rPr>
                <w:rFonts w:hint="eastAsia" w:ascii="Times New Roman" w:hAnsi="Times New Roman" w:eastAsia="楷体"/>
                <w:color w:val="auto"/>
              </w:rPr>
              <w:t>北大核心期刊中的</w:t>
            </w:r>
            <w:r>
              <w:rPr>
                <w:rFonts w:ascii="Times New Roman" w:hAnsi="Times New Roman" w:eastAsia="楷体"/>
                <w:color w:val="auto"/>
              </w:rPr>
              <w:t>书评类</w:t>
            </w:r>
            <w:r>
              <w:rPr>
                <w:rFonts w:hint="eastAsia" w:ascii="Times New Roman" w:hAnsi="Times New Roman" w:eastAsia="楷体"/>
                <w:color w:val="auto"/>
              </w:rPr>
              <w:t>（含插页等）</w:t>
            </w:r>
            <w:r>
              <w:rPr>
                <w:rFonts w:ascii="Times New Roman" w:hAnsi="Times New Roman" w:eastAsia="楷体"/>
                <w:color w:val="auto"/>
              </w:rPr>
              <w:t>文章</w:t>
            </w:r>
            <w:r>
              <w:rPr>
                <w:rFonts w:hint="eastAsia" w:ascii="Times New Roman" w:hAnsi="Times New Roman" w:eastAsia="楷体"/>
                <w:color w:val="auto"/>
              </w:rPr>
              <w:t>在</w:t>
            </w:r>
            <w:r>
              <w:rPr>
                <w:rFonts w:ascii="Times New Roman" w:hAnsi="Times New Roman" w:eastAsia="楷体"/>
                <w:color w:val="auto"/>
              </w:rPr>
              <w:t>2020年12月31日前发表的</w:t>
            </w:r>
            <w:r>
              <w:rPr>
                <w:rFonts w:hint="eastAsia" w:ascii="Times New Roman" w:hAnsi="Times New Roman" w:eastAsia="楷体"/>
                <w:color w:val="auto"/>
              </w:rPr>
              <w:t>，第1名计8分</w:t>
            </w:r>
            <w:r>
              <w:rPr>
                <w:rFonts w:ascii="Times New Roman" w:hAnsi="Times New Roman" w:eastAsia="楷体"/>
                <w:color w:val="auto"/>
              </w:rPr>
              <w:t>，第2-3名</w:t>
            </w:r>
            <w:r>
              <w:rPr>
                <w:rFonts w:hint="eastAsia" w:ascii="Times New Roman" w:hAnsi="Times New Roman" w:eastAsia="楷体"/>
                <w:color w:val="auto"/>
              </w:rPr>
              <w:t>计4.8</w:t>
            </w:r>
            <w:r>
              <w:rPr>
                <w:rFonts w:ascii="Times New Roman" w:hAnsi="Times New Roman" w:eastAsia="楷体"/>
                <w:color w:val="auto"/>
              </w:rPr>
              <w:t>分</w:t>
            </w:r>
            <w:r>
              <w:rPr>
                <w:rFonts w:hint="eastAsia" w:ascii="Times New Roman" w:hAnsi="Times New Roman" w:eastAsia="楷体"/>
                <w:color w:val="auto"/>
              </w:rPr>
              <w:t>，</w:t>
            </w:r>
            <w:r>
              <w:rPr>
                <w:rFonts w:ascii="Times New Roman" w:hAnsi="Times New Roman" w:eastAsia="楷体"/>
                <w:color w:val="auto"/>
              </w:rPr>
              <w:t>2020年12月31日后发表的不计分</w:t>
            </w:r>
            <w:r>
              <w:rPr>
                <w:rFonts w:hint="eastAsia" w:ascii="Times New Roman" w:hAnsi="Times New Roman" w:eastAsia="楷体"/>
                <w:color w:val="auto"/>
              </w:rPr>
              <w:t>；</w:t>
            </w:r>
          </w:p>
          <w:p w14:paraId="038B4855">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5.通讯作者视同第一作者；</w:t>
            </w:r>
          </w:p>
          <w:p w14:paraId="4624DF6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6</w:t>
            </w:r>
            <w:r>
              <w:rPr>
                <w:rFonts w:ascii="Times New Roman" w:hAnsi="Times New Roman" w:eastAsia="楷体"/>
                <w:color w:val="auto"/>
              </w:rPr>
              <w:t>.第一作者</w:t>
            </w:r>
            <w:r>
              <w:rPr>
                <w:rFonts w:hint="eastAsia" w:ascii="Times New Roman" w:hAnsi="Times New Roman" w:eastAsia="楷体"/>
                <w:color w:val="auto"/>
              </w:rPr>
              <w:t>或通讯作者</w:t>
            </w:r>
            <w:r>
              <w:rPr>
                <w:rFonts w:ascii="Times New Roman" w:hAnsi="Times New Roman" w:eastAsia="楷体"/>
                <w:color w:val="auto"/>
              </w:rPr>
              <w:t>为外单位的，</w:t>
            </w:r>
            <w:r>
              <w:rPr>
                <w:rFonts w:hint="eastAsia" w:ascii="Times New Roman" w:hAnsi="Times New Roman" w:eastAsia="楷体"/>
                <w:color w:val="auto"/>
              </w:rPr>
              <w:t>本校教师</w:t>
            </w:r>
            <w:r>
              <w:rPr>
                <w:rFonts w:ascii="Times New Roman" w:hAnsi="Times New Roman" w:eastAsia="楷体"/>
                <w:color w:val="auto"/>
              </w:rPr>
              <w:t>按上述标准减半计分。</w:t>
            </w:r>
          </w:p>
        </w:tc>
      </w:tr>
      <w:tr w14:paraId="14B0D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jc w:val="center"/>
        </w:trPr>
        <w:tc>
          <w:tcPr>
            <w:tcW w:w="753" w:type="dxa"/>
            <w:vMerge w:val="continue"/>
            <w:vAlign w:val="center"/>
          </w:tcPr>
          <w:p w14:paraId="52763733">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5806095F">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出版专著教材</w:t>
            </w:r>
          </w:p>
        </w:tc>
        <w:tc>
          <w:tcPr>
            <w:tcW w:w="9011" w:type="dxa"/>
            <w:vAlign w:val="center"/>
          </w:tcPr>
          <w:p w14:paraId="78ED1BD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1.</w:t>
            </w:r>
            <w:r>
              <w:rPr>
                <w:rFonts w:ascii="Times New Roman" w:hAnsi="Times New Roman"/>
                <w:color w:val="auto"/>
              </w:rPr>
              <w:t>获教育部</w:t>
            </w:r>
            <w:r>
              <w:rPr>
                <w:rFonts w:hint="eastAsia" w:ascii="Times New Roman" w:hAnsi="Times New Roman"/>
                <w:color w:val="auto"/>
              </w:rPr>
              <w:t>优秀</w:t>
            </w:r>
            <w:r>
              <w:rPr>
                <w:rFonts w:ascii="Times New Roman" w:hAnsi="Times New Roman"/>
                <w:color w:val="auto"/>
              </w:rPr>
              <w:t>教材奖一等奖：主编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1名（30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2-3名（18</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7-10名（6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3</w:t>
            </w:r>
            <w:r>
              <w:rPr>
                <w:rFonts w:ascii="Times New Roman" w:hAnsi="Times New Roman"/>
                <w:color w:val="auto"/>
              </w:rPr>
              <w:t>分）</w:t>
            </w:r>
          </w:p>
          <w:p w14:paraId="6FBF0AD8">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2</w:t>
            </w:r>
            <w:r>
              <w:rPr>
                <w:rFonts w:ascii="Times New Roman" w:hAnsi="Times New Roman"/>
                <w:color w:val="auto"/>
              </w:rPr>
              <w:t>.获教育部</w:t>
            </w:r>
            <w:r>
              <w:rPr>
                <w:rFonts w:hint="eastAsia" w:ascii="Times New Roman" w:hAnsi="Times New Roman"/>
                <w:color w:val="auto"/>
              </w:rPr>
              <w:t>优秀</w:t>
            </w:r>
            <w:r>
              <w:rPr>
                <w:rFonts w:ascii="Times New Roman" w:hAnsi="Times New Roman"/>
                <w:color w:val="auto"/>
              </w:rPr>
              <w:t>教材奖二等奖：主编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1名（25</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2-3名（15</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7-10名（5</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2.5</w:t>
            </w:r>
            <w:r>
              <w:rPr>
                <w:rFonts w:ascii="Times New Roman" w:hAnsi="Times New Roman"/>
                <w:color w:val="auto"/>
              </w:rPr>
              <w:t>分）</w:t>
            </w:r>
          </w:p>
          <w:p w14:paraId="45CE272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3.</w:t>
            </w:r>
            <w:r>
              <w:rPr>
                <w:rFonts w:ascii="Times New Roman" w:hAnsi="Times New Roman"/>
                <w:color w:val="auto"/>
              </w:rPr>
              <w:t>获教育部</w:t>
            </w:r>
            <w:r>
              <w:rPr>
                <w:rFonts w:hint="eastAsia" w:ascii="Times New Roman" w:hAnsi="Times New Roman"/>
                <w:color w:val="auto"/>
              </w:rPr>
              <w:t>优秀</w:t>
            </w:r>
            <w:r>
              <w:rPr>
                <w:rFonts w:ascii="Times New Roman" w:hAnsi="Times New Roman"/>
                <w:color w:val="auto"/>
              </w:rPr>
              <w:t>教材奖</w:t>
            </w:r>
            <w:r>
              <w:rPr>
                <w:rFonts w:hint="eastAsia" w:ascii="Times New Roman" w:hAnsi="Times New Roman"/>
                <w:color w:val="auto"/>
              </w:rPr>
              <w:t>三</w:t>
            </w:r>
            <w:r>
              <w:rPr>
                <w:rFonts w:ascii="Times New Roman" w:hAnsi="Times New Roman"/>
                <w:color w:val="auto"/>
              </w:rPr>
              <w:t>等奖：主编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1名（20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2-3名（12</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7-10名（4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2</w:t>
            </w:r>
            <w:r>
              <w:rPr>
                <w:rFonts w:ascii="Times New Roman" w:hAnsi="Times New Roman"/>
                <w:color w:val="auto"/>
              </w:rPr>
              <w:t>分）</w:t>
            </w:r>
          </w:p>
          <w:p w14:paraId="1D77EFB1">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4</w:t>
            </w:r>
            <w:r>
              <w:rPr>
                <w:rFonts w:ascii="Times New Roman" w:hAnsi="Times New Roman"/>
                <w:color w:val="auto"/>
              </w:rPr>
              <w:t>.教育部高等教育规划教材（职业教育规划教材）</w:t>
            </w:r>
            <w:r>
              <w:rPr>
                <w:rFonts w:hint="eastAsia" w:ascii="Times New Roman" w:hAnsi="Times New Roman"/>
                <w:color w:val="auto"/>
              </w:rPr>
              <w:t>：</w:t>
            </w:r>
            <w:r>
              <w:rPr>
                <w:rFonts w:ascii="Times New Roman" w:hAnsi="Times New Roman"/>
                <w:color w:val="auto"/>
              </w:rPr>
              <w:t>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w:t>
            </w:r>
            <w:r>
              <w:rPr>
                <w:rFonts w:ascii="Times New Roman" w:hAnsi="Times New Roman"/>
                <w:color w:val="auto"/>
              </w:rPr>
              <w:t>20分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w:t>
            </w:r>
            <w:r>
              <w:rPr>
                <w:rFonts w:ascii="Times New Roman" w:hAnsi="Times New Roman"/>
                <w:color w:val="auto"/>
              </w:rPr>
              <w:t>1</w:t>
            </w:r>
            <w:r>
              <w:rPr>
                <w:rFonts w:hint="eastAsia" w:ascii="Times New Roman" w:hAnsi="Times New Roman"/>
                <w:color w:val="auto"/>
              </w:rPr>
              <w:t>2</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7-10名（4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2</w:t>
            </w:r>
            <w:r>
              <w:rPr>
                <w:rFonts w:ascii="Times New Roman" w:hAnsi="Times New Roman"/>
                <w:color w:val="auto"/>
              </w:rPr>
              <w:t>分）</w:t>
            </w:r>
          </w:p>
          <w:p w14:paraId="7FD1E0F7">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5.</w:t>
            </w:r>
            <w:r>
              <w:rPr>
                <w:rFonts w:ascii="Times New Roman" w:hAnsi="Times New Roman"/>
                <w:color w:val="auto"/>
              </w:rPr>
              <w:t>获省级</w:t>
            </w:r>
            <w:r>
              <w:rPr>
                <w:rFonts w:hint="eastAsia" w:ascii="Times New Roman" w:hAnsi="Times New Roman"/>
                <w:color w:val="auto"/>
              </w:rPr>
              <w:t>优秀</w:t>
            </w:r>
            <w:r>
              <w:rPr>
                <w:rFonts w:ascii="Times New Roman" w:hAnsi="Times New Roman"/>
                <w:color w:val="auto"/>
              </w:rPr>
              <w:t>教材奖：主编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2-3名（7.2</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4.8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7-8名（2.4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1.2</w:t>
            </w:r>
            <w:r>
              <w:rPr>
                <w:rFonts w:ascii="Times New Roman" w:hAnsi="Times New Roman"/>
                <w:color w:val="auto"/>
              </w:rPr>
              <w:t>分）</w:t>
            </w:r>
          </w:p>
          <w:p w14:paraId="687F40F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6.省级</w:t>
            </w:r>
            <w:r>
              <w:rPr>
                <w:rFonts w:ascii="Times New Roman" w:hAnsi="Times New Roman"/>
                <w:color w:val="auto"/>
              </w:rPr>
              <w:t>高等教育规划教材（职业教育规划教材）：主编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1名（10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2-3名（6</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7-8名（2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1</w:t>
            </w:r>
            <w:r>
              <w:rPr>
                <w:rFonts w:ascii="Times New Roman" w:hAnsi="Times New Roman"/>
                <w:color w:val="auto"/>
              </w:rPr>
              <w:t>分）</w:t>
            </w:r>
          </w:p>
          <w:p w14:paraId="2EED120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7.正规出版的普通</w:t>
            </w:r>
            <w:r>
              <w:rPr>
                <w:rFonts w:ascii="Times New Roman" w:hAnsi="Times New Roman"/>
                <w:color w:val="auto"/>
              </w:rPr>
              <w:t>教材：主编</w:t>
            </w:r>
            <w:r>
              <w:rPr>
                <w:rFonts w:hint="eastAsia" w:ascii="Times New Roman" w:hAnsi="Times New Roman"/>
                <w:color w:val="auto"/>
              </w:rPr>
              <w:t>及副主编总排名</w:t>
            </w:r>
            <w:r>
              <w:rPr>
                <w:rFonts w:ascii="Times New Roman" w:hAnsi="Times New Roman"/>
                <w:color w:val="auto"/>
              </w:rPr>
              <w:t>第</w:t>
            </w:r>
            <w:r>
              <w:rPr>
                <w:rFonts w:hint="eastAsia" w:ascii="Times New Roman" w:hAnsi="Times New Roman"/>
                <w:color w:val="auto"/>
              </w:rPr>
              <w:t>1名（6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2-3名（3.6</w:t>
            </w:r>
            <w:r>
              <w:rPr>
                <w:rFonts w:ascii="Times New Roman" w:hAnsi="Times New Roman"/>
                <w:color w:val="auto"/>
              </w:rPr>
              <w:t>分）</w:t>
            </w:r>
            <w:r>
              <w:rPr>
                <w:rFonts w:hint="eastAsia" w:ascii="Times New Roman" w:hAnsi="Times New Roman"/>
                <w:color w:val="auto"/>
              </w:rPr>
              <w:t>，第4-6名</w:t>
            </w:r>
            <w:r>
              <w:rPr>
                <w:rFonts w:ascii="Times New Roman" w:hAnsi="Times New Roman"/>
                <w:color w:val="auto"/>
              </w:rPr>
              <w:t>（</w:t>
            </w:r>
            <w:r>
              <w:rPr>
                <w:rFonts w:hint="eastAsia" w:ascii="Times New Roman" w:hAnsi="Times New Roman"/>
                <w:color w:val="auto"/>
              </w:rPr>
              <w:t>2.4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参编（</w:t>
            </w:r>
            <w:r>
              <w:rPr>
                <w:rFonts w:hint="eastAsia" w:ascii="Times New Roman" w:hAnsi="Times New Roman"/>
                <w:color w:val="auto"/>
              </w:rPr>
              <w:t>0.6</w:t>
            </w:r>
            <w:r>
              <w:rPr>
                <w:rFonts w:ascii="Times New Roman" w:hAnsi="Times New Roman"/>
                <w:color w:val="auto"/>
              </w:rPr>
              <w:t>分）</w:t>
            </w:r>
          </w:p>
          <w:p w14:paraId="471C84E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8.学术/教学研究/教改类专著：</w:t>
            </w:r>
            <w:r>
              <w:rPr>
                <w:rFonts w:ascii="Times New Roman" w:hAnsi="Times New Roman"/>
                <w:color w:val="auto"/>
              </w:rPr>
              <w:t>第</w:t>
            </w:r>
            <w:r>
              <w:rPr>
                <w:rFonts w:hint="eastAsia" w:ascii="Times New Roman" w:hAnsi="Times New Roman"/>
                <w:color w:val="auto"/>
              </w:rPr>
              <w:t>1名（6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2-3名（3.6</w:t>
            </w:r>
            <w:r>
              <w:rPr>
                <w:rFonts w:ascii="Times New Roman" w:hAnsi="Times New Roman"/>
                <w:color w:val="auto"/>
              </w:rPr>
              <w:t>分）</w:t>
            </w:r>
            <w:r>
              <w:rPr>
                <w:rFonts w:hint="eastAsia" w:ascii="Times New Roman" w:hAnsi="Times New Roman"/>
                <w:color w:val="auto"/>
              </w:rPr>
              <w:t>，第4-6名（2.4分）</w:t>
            </w:r>
          </w:p>
          <w:p w14:paraId="0B6B143E">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20FB3BC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w:t>
            </w:r>
            <w:r>
              <w:rPr>
                <w:rFonts w:hint="eastAsia" w:ascii="Times New Roman" w:hAnsi="Times New Roman" w:eastAsia="楷体"/>
                <w:color w:val="auto"/>
              </w:rPr>
              <w:t>最高</w:t>
            </w:r>
            <w:r>
              <w:rPr>
                <w:rFonts w:ascii="Times New Roman" w:hAnsi="Times New Roman" w:eastAsia="楷体"/>
                <w:color w:val="auto"/>
              </w:rPr>
              <w:t>限</w:t>
            </w:r>
            <w:r>
              <w:rPr>
                <w:rFonts w:hint="eastAsia" w:ascii="Times New Roman" w:hAnsi="Times New Roman" w:eastAsia="楷体"/>
                <w:color w:val="auto"/>
              </w:rPr>
              <w:t>3项；</w:t>
            </w:r>
          </w:p>
          <w:p w14:paraId="737605D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2</w:t>
            </w:r>
            <w:r>
              <w:rPr>
                <w:rFonts w:ascii="Times New Roman" w:hAnsi="Times New Roman" w:eastAsia="楷体"/>
                <w:color w:val="auto"/>
              </w:rPr>
              <w:t>.</w:t>
            </w:r>
            <w:r>
              <w:rPr>
                <w:rFonts w:hint="eastAsia" w:ascii="Times New Roman" w:hAnsi="Times New Roman" w:eastAsia="楷体"/>
                <w:color w:val="auto"/>
              </w:rPr>
              <w:t>教材或专著</w:t>
            </w:r>
            <w:r>
              <w:rPr>
                <w:rFonts w:ascii="Times New Roman" w:hAnsi="Times New Roman" w:eastAsia="楷体"/>
                <w:color w:val="auto"/>
              </w:rPr>
              <w:t>内容应与申报专业相关</w:t>
            </w:r>
            <w:r>
              <w:rPr>
                <w:rFonts w:hint="eastAsia" w:ascii="Times New Roman" w:hAnsi="Times New Roman" w:eastAsia="楷体"/>
                <w:color w:val="auto"/>
              </w:rPr>
              <w:t>；</w:t>
            </w:r>
          </w:p>
          <w:p w14:paraId="047D5FE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3.内容相似的多本教材或专著按1本计分；</w:t>
            </w:r>
          </w:p>
          <w:p w14:paraId="1286C5F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4.主编、副主编超出额定人数的人员按参编计分；</w:t>
            </w:r>
          </w:p>
          <w:p w14:paraId="69CA91E1">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5.教材</w:t>
            </w:r>
            <w:r>
              <w:rPr>
                <w:rFonts w:ascii="Times New Roman" w:hAnsi="Times New Roman" w:eastAsia="楷体"/>
                <w:color w:val="auto"/>
              </w:rPr>
              <w:t>第</w:t>
            </w:r>
            <w:r>
              <w:rPr>
                <w:rFonts w:hint="eastAsia" w:ascii="Times New Roman" w:hAnsi="Times New Roman" w:eastAsia="楷体"/>
                <w:color w:val="auto"/>
              </w:rPr>
              <w:t>一</w:t>
            </w:r>
            <w:r>
              <w:rPr>
                <w:rFonts w:ascii="Times New Roman" w:hAnsi="Times New Roman" w:eastAsia="楷体"/>
                <w:color w:val="auto"/>
              </w:rPr>
              <w:t>主编</w:t>
            </w:r>
            <w:r>
              <w:rPr>
                <w:rFonts w:hint="eastAsia" w:ascii="Times New Roman" w:hAnsi="Times New Roman" w:eastAsia="楷体"/>
                <w:color w:val="auto"/>
              </w:rPr>
              <w:t>或专著</w:t>
            </w:r>
            <w:r>
              <w:rPr>
                <w:rFonts w:ascii="Times New Roman" w:hAnsi="Times New Roman" w:eastAsia="楷体"/>
                <w:color w:val="auto"/>
              </w:rPr>
              <w:t>第</w:t>
            </w:r>
            <w:r>
              <w:rPr>
                <w:rFonts w:hint="eastAsia" w:ascii="Times New Roman" w:hAnsi="Times New Roman" w:eastAsia="楷体"/>
                <w:color w:val="auto"/>
              </w:rPr>
              <w:t>一名</w:t>
            </w:r>
            <w:r>
              <w:rPr>
                <w:rFonts w:ascii="Times New Roman" w:hAnsi="Times New Roman" w:eastAsia="楷体"/>
                <w:color w:val="auto"/>
              </w:rPr>
              <w:t>为外单位的，</w:t>
            </w:r>
            <w:r>
              <w:rPr>
                <w:rFonts w:hint="eastAsia" w:ascii="Times New Roman" w:hAnsi="Times New Roman" w:eastAsia="楷体"/>
                <w:color w:val="auto"/>
              </w:rPr>
              <w:t>本校教师</w:t>
            </w:r>
            <w:r>
              <w:rPr>
                <w:rFonts w:ascii="Times New Roman" w:hAnsi="Times New Roman" w:eastAsia="楷体"/>
                <w:color w:val="auto"/>
              </w:rPr>
              <w:t>按上述标准减半计分</w:t>
            </w:r>
            <w:r>
              <w:rPr>
                <w:rFonts w:hint="eastAsia" w:ascii="Times New Roman" w:hAnsi="Times New Roman" w:eastAsia="楷体"/>
                <w:color w:val="auto"/>
              </w:rPr>
              <w:t>。</w:t>
            </w:r>
          </w:p>
        </w:tc>
      </w:tr>
      <w:tr w14:paraId="79A10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53" w:type="dxa"/>
            <w:vMerge w:val="continue"/>
            <w:vAlign w:val="center"/>
          </w:tcPr>
          <w:p w14:paraId="7C16D781">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7F7CEE3F">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纵向</w:t>
            </w:r>
          </w:p>
          <w:p w14:paraId="1EF6A81E">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课题</w:t>
            </w:r>
          </w:p>
        </w:tc>
        <w:tc>
          <w:tcPr>
            <w:tcW w:w="9011" w:type="dxa"/>
            <w:vAlign w:val="center"/>
          </w:tcPr>
          <w:p w14:paraId="2DED72A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w:t>
            </w:r>
            <w:r>
              <w:rPr>
                <w:rFonts w:hint="eastAsia" w:ascii="Times New Roman" w:hAnsi="Times New Roman"/>
                <w:color w:val="auto"/>
              </w:rPr>
              <w:t>级</w:t>
            </w:r>
            <w:r>
              <w:rPr>
                <w:rFonts w:ascii="Times New Roman" w:hAnsi="Times New Roman"/>
                <w:color w:val="auto"/>
              </w:rPr>
              <w:t>A类：主持人（50分），第2-3名（</w:t>
            </w:r>
            <w:r>
              <w:rPr>
                <w:rFonts w:hint="eastAsia" w:ascii="Times New Roman" w:hAnsi="Times New Roman"/>
                <w:color w:val="auto"/>
              </w:rPr>
              <w:t>30</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20</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-10名（10分）</w:t>
            </w:r>
          </w:p>
          <w:p w14:paraId="16D0AFA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2.国家</w:t>
            </w:r>
            <w:r>
              <w:rPr>
                <w:rFonts w:hint="eastAsia" w:ascii="Times New Roman" w:hAnsi="Times New Roman"/>
                <w:color w:val="auto"/>
              </w:rPr>
              <w:t>级</w:t>
            </w:r>
            <w:r>
              <w:rPr>
                <w:rFonts w:ascii="Times New Roman" w:hAnsi="Times New Roman"/>
                <w:color w:val="auto"/>
              </w:rPr>
              <w:t>B类：主持人（30分），第2-3名（1</w:t>
            </w:r>
            <w:r>
              <w:rPr>
                <w:rFonts w:hint="eastAsia" w:ascii="Times New Roman" w:hAnsi="Times New Roman"/>
                <w:color w:val="auto"/>
              </w:rPr>
              <w:t>8</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-10名（</w:t>
            </w:r>
            <w:r>
              <w:rPr>
                <w:rFonts w:hint="eastAsia" w:ascii="Times New Roman" w:hAnsi="Times New Roman"/>
                <w:color w:val="auto"/>
              </w:rPr>
              <w:t>6</w:t>
            </w:r>
            <w:r>
              <w:rPr>
                <w:rFonts w:ascii="Times New Roman" w:hAnsi="Times New Roman"/>
                <w:color w:val="auto"/>
              </w:rPr>
              <w:t>分）</w:t>
            </w:r>
          </w:p>
          <w:p w14:paraId="2677D1F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3.省级A类：主持人（</w:t>
            </w:r>
            <w:r>
              <w:rPr>
                <w:rFonts w:hint="eastAsia" w:ascii="Times New Roman" w:hAnsi="Times New Roman"/>
                <w:color w:val="auto"/>
              </w:rPr>
              <w:t>20</w:t>
            </w:r>
            <w:r>
              <w:rPr>
                <w:rFonts w:ascii="Times New Roman" w:hAnsi="Times New Roman"/>
                <w:color w:val="auto"/>
              </w:rPr>
              <w:t>分），第2-3名（12分），第4-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8</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7-8</w:t>
            </w:r>
            <w:r>
              <w:rPr>
                <w:rFonts w:ascii="Times New Roman" w:hAnsi="Times New Roman"/>
                <w:color w:val="auto"/>
              </w:rPr>
              <w:t>名（</w:t>
            </w:r>
            <w:r>
              <w:rPr>
                <w:rFonts w:hint="eastAsia" w:ascii="Times New Roman" w:hAnsi="Times New Roman"/>
                <w:color w:val="auto"/>
              </w:rPr>
              <w:t>4</w:t>
            </w:r>
            <w:r>
              <w:rPr>
                <w:rFonts w:ascii="Times New Roman" w:hAnsi="Times New Roman"/>
                <w:color w:val="auto"/>
              </w:rPr>
              <w:t>分）</w:t>
            </w:r>
          </w:p>
          <w:p w14:paraId="2E0FC6F1">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4.省级B类：主持人（</w:t>
            </w:r>
            <w:r>
              <w:rPr>
                <w:rFonts w:hint="eastAsia" w:ascii="Times New Roman" w:hAnsi="Times New Roman"/>
                <w:color w:val="auto"/>
              </w:rPr>
              <w:t>15</w:t>
            </w:r>
            <w:r>
              <w:rPr>
                <w:rFonts w:ascii="Times New Roman" w:hAnsi="Times New Roman"/>
                <w:color w:val="auto"/>
              </w:rPr>
              <w:t>分），第2-3名（</w:t>
            </w:r>
            <w:r>
              <w:rPr>
                <w:rFonts w:hint="eastAsia" w:ascii="Times New Roman" w:hAnsi="Times New Roman"/>
                <w:color w:val="auto"/>
              </w:rPr>
              <w:t>9</w:t>
            </w:r>
            <w:r>
              <w:rPr>
                <w:rFonts w:ascii="Times New Roman" w:hAnsi="Times New Roman"/>
                <w:color w:val="auto"/>
              </w:rPr>
              <w:t>分），第4-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7-8</w:t>
            </w:r>
            <w:r>
              <w:rPr>
                <w:rFonts w:ascii="Times New Roman" w:hAnsi="Times New Roman"/>
                <w:color w:val="auto"/>
              </w:rPr>
              <w:t>名（</w:t>
            </w:r>
            <w:r>
              <w:rPr>
                <w:rFonts w:hint="eastAsia" w:ascii="Times New Roman" w:hAnsi="Times New Roman"/>
                <w:color w:val="auto"/>
              </w:rPr>
              <w:t>3</w:t>
            </w:r>
            <w:r>
              <w:rPr>
                <w:rFonts w:ascii="Times New Roman" w:hAnsi="Times New Roman"/>
                <w:color w:val="auto"/>
              </w:rPr>
              <w:t>分）</w:t>
            </w:r>
          </w:p>
          <w:p w14:paraId="6A8B872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5.省级C类：主持人（8分），第2-3名（4.8分），第4-</w:t>
            </w:r>
            <w:r>
              <w:rPr>
                <w:rFonts w:hint="eastAsia" w:ascii="Times New Roman" w:hAnsi="Times New Roman"/>
                <w:color w:val="auto"/>
              </w:rPr>
              <w:t>6</w:t>
            </w:r>
            <w:r>
              <w:rPr>
                <w:rFonts w:ascii="Times New Roman" w:hAnsi="Times New Roman"/>
                <w:color w:val="auto"/>
              </w:rPr>
              <w:t>名（3.2分）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7-8</w:t>
            </w:r>
            <w:r>
              <w:rPr>
                <w:rFonts w:ascii="Times New Roman" w:hAnsi="Times New Roman"/>
                <w:color w:val="auto"/>
              </w:rPr>
              <w:t>名（1.6分）</w:t>
            </w:r>
          </w:p>
          <w:p w14:paraId="56D860EC">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color w:val="auto"/>
              </w:rPr>
            </w:pPr>
            <w:r>
              <w:rPr>
                <w:rFonts w:hint="eastAsia" w:ascii="Times New Roman" w:hAnsi="Times New Roman"/>
                <w:color w:val="auto"/>
              </w:rPr>
              <w:t>6.市级A类：主持人（4分），第2-3名（2.4分），第4-6名（1.6分）</w:t>
            </w:r>
          </w:p>
          <w:p w14:paraId="3E732E65">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color w:val="auto"/>
              </w:rPr>
            </w:pPr>
            <w:r>
              <w:rPr>
                <w:rFonts w:hint="eastAsia" w:ascii="Times New Roman" w:hAnsi="Times New Roman"/>
                <w:color w:val="auto"/>
              </w:rPr>
              <w:t>7.市级B类：主持人（2分），第2-3名（1.2分），第4-6名（0.8分）</w:t>
            </w:r>
          </w:p>
          <w:p w14:paraId="3047B78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2A7CA05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1.累计计分，最高限3项</w:t>
            </w:r>
            <w:r>
              <w:rPr>
                <w:rFonts w:hint="eastAsia" w:ascii="Times New Roman" w:hAnsi="Times New Roman" w:eastAsia="楷体"/>
                <w:color w:val="auto"/>
              </w:rPr>
              <w:t>；</w:t>
            </w:r>
          </w:p>
          <w:p w14:paraId="03EAC838">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2.课题认定标准以附录4为准</w:t>
            </w:r>
            <w:r>
              <w:rPr>
                <w:rFonts w:hint="eastAsia" w:ascii="Times New Roman" w:hAnsi="Times New Roman" w:eastAsia="楷体"/>
                <w:color w:val="auto"/>
              </w:rPr>
              <w:t>；</w:t>
            </w:r>
          </w:p>
          <w:p w14:paraId="67DF62C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3.课题内容应与申报专业相关</w:t>
            </w:r>
            <w:r>
              <w:rPr>
                <w:rFonts w:hint="eastAsia" w:ascii="Times New Roman" w:hAnsi="Times New Roman" w:eastAsia="楷体"/>
                <w:color w:val="auto"/>
              </w:rPr>
              <w:t>；</w:t>
            </w:r>
          </w:p>
          <w:p w14:paraId="018796E2">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4.课题结项后方可认定、计分，人员名单以结项证书为准；</w:t>
            </w:r>
          </w:p>
          <w:p w14:paraId="5DD694ED">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w:t>
            </w:r>
            <w:r>
              <w:rPr>
                <w:rFonts w:ascii="Times New Roman" w:hAnsi="Times New Roman" w:eastAsia="楷体"/>
                <w:color w:val="auto"/>
              </w:rPr>
              <w:t>.主持人为外单位的，</w:t>
            </w:r>
            <w:r>
              <w:rPr>
                <w:rFonts w:hint="eastAsia" w:ascii="Times New Roman" w:hAnsi="Times New Roman" w:eastAsia="楷体"/>
                <w:color w:val="auto"/>
              </w:rPr>
              <w:t>本校教师降档</w:t>
            </w:r>
            <w:r>
              <w:rPr>
                <w:rFonts w:ascii="Times New Roman" w:hAnsi="Times New Roman" w:eastAsia="楷体"/>
                <w:color w:val="auto"/>
              </w:rPr>
              <w:t>计分</w:t>
            </w:r>
            <w:r>
              <w:rPr>
                <w:rFonts w:hint="eastAsia" w:ascii="Times New Roman" w:hAnsi="Times New Roman" w:eastAsia="楷体"/>
                <w:color w:val="auto"/>
              </w:rPr>
              <w:t>，即国家级按省级计分，省级按市级计分</w:t>
            </w:r>
            <w:r>
              <w:rPr>
                <w:rFonts w:ascii="Times New Roman" w:hAnsi="Times New Roman" w:eastAsia="楷体"/>
                <w:color w:val="auto"/>
              </w:rPr>
              <w:t>。</w:t>
            </w:r>
          </w:p>
        </w:tc>
      </w:tr>
      <w:tr w14:paraId="488B0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6" w:hRule="atLeast"/>
          <w:jc w:val="center"/>
        </w:trPr>
        <w:tc>
          <w:tcPr>
            <w:tcW w:w="753" w:type="dxa"/>
            <w:vMerge w:val="continue"/>
            <w:vAlign w:val="center"/>
          </w:tcPr>
          <w:p w14:paraId="62A94F29">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74C5E8A9">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横向</w:t>
            </w:r>
          </w:p>
          <w:p w14:paraId="37354563">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课题</w:t>
            </w:r>
          </w:p>
        </w:tc>
        <w:tc>
          <w:tcPr>
            <w:tcW w:w="9011" w:type="dxa"/>
            <w:vAlign w:val="center"/>
          </w:tcPr>
          <w:p w14:paraId="533DA88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color w:val="auto"/>
              </w:rPr>
            </w:pPr>
            <w:r>
              <w:rPr>
                <w:rFonts w:ascii="Times New Roman" w:hAnsi="Times New Roman"/>
                <w:color w:val="auto"/>
              </w:rPr>
              <w:t>横向课题</w:t>
            </w:r>
            <w:r>
              <w:rPr>
                <w:rFonts w:hint="eastAsia" w:ascii="Times New Roman" w:hAnsi="Times New Roman"/>
                <w:color w:val="auto"/>
              </w:rPr>
              <w:t>按照</w:t>
            </w:r>
            <w:r>
              <w:rPr>
                <w:rFonts w:ascii="Times New Roman" w:hAnsi="Times New Roman"/>
                <w:color w:val="auto"/>
              </w:rPr>
              <w:t>到账经费</w:t>
            </w:r>
            <w:r>
              <w:rPr>
                <w:rFonts w:hint="eastAsia" w:ascii="Times New Roman" w:hAnsi="Times New Roman"/>
                <w:color w:val="auto"/>
              </w:rPr>
              <w:t>计分，每1万元计1分，上限</w:t>
            </w:r>
            <w:r>
              <w:rPr>
                <w:rFonts w:hint="eastAsia" w:ascii="Times New Roman" w:hAnsi="Times New Roman"/>
                <w:color w:val="auto"/>
                <w:lang w:val="en-US" w:eastAsia="zh-CN"/>
              </w:rPr>
              <w:t>45</w:t>
            </w:r>
            <w:r>
              <w:rPr>
                <w:rFonts w:hint="eastAsia" w:ascii="Times New Roman" w:hAnsi="Times New Roman"/>
                <w:color w:val="auto"/>
              </w:rPr>
              <w:t>分。</w:t>
            </w:r>
          </w:p>
          <w:p w14:paraId="4C73E93D">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280451F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eastAsia="楷体"/>
                <w:color w:val="auto"/>
              </w:rPr>
            </w:pPr>
            <w:r>
              <w:rPr>
                <w:rFonts w:hint="eastAsia" w:ascii="Times New Roman" w:hAnsi="Times New Roman" w:eastAsia="楷体"/>
                <w:color w:val="auto"/>
              </w:rPr>
              <w:t>1.课题内容应与申报专业相关；</w:t>
            </w:r>
          </w:p>
          <w:p w14:paraId="683325A1">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eastAsia="楷体"/>
                <w:color w:val="auto"/>
              </w:rPr>
            </w:pPr>
            <w:r>
              <w:rPr>
                <w:rFonts w:hint="eastAsia" w:ascii="Times New Roman" w:hAnsi="Times New Roman" w:eastAsia="楷体"/>
                <w:color w:val="auto"/>
              </w:rPr>
              <w:t>2.独立完成的，按分值的100%计算；2人完成的，主持人按分值的60%计算，第2名按分值的40%计算；3人及以上完成的，主持人按分值的50%计算，其余50%分值由其他课题完成人平均分配；</w:t>
            </w:r>
          </w:p>
          <w:p w14:paraId="7889156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3.主持人为外单位的，本校教师不计分。</w:t>
            </w:r>
          </w:p>
        </w:tc>
      </w:tr>
      <w:tr w14:paraId="72FDF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jc w:val="center"/>
        </w:trPr>
        <w:tc>
          <w:tcPr>
            <w:tcW w:w="753" w:type="dxa"/>
            <w:vMerge w:val="continue"/>
            <w:vAlign w:val="center"/>
          </w:tcPr>
          <w:p w14:paraId="43CBA056">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189FBEB7">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专利</w:t>
            </w:r>
          </w:p>
          <w:p w14:paraId="721094A0">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hint="eastAsia" w:ascii="Times New Roman" w:hAnsi="Times New Roman"/>
                <w:color w:val="auto"/>
              </w:rPr>
              <w:t>转化</w:t>
            </w:r>
          </w:p>
        </w:tc>
        <w:tc>
          <w:tcPr>
            <w:tcW w:w="9011" w:type="dxa"/>
            <w:vAlign w:val="center"/>
          </w:tcPr>
          <w:p w14:paraId="5A301E7B">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hint="eastAsia" w:ascii="Times New Roman" w:hAnsi="Times New Roman"/>
                <w:color w:val="auto"/>
              </w:rPr>
              <w:t>专利按照转化收入到账计分。</w:t>
            </w:r>
          </w:p>
          <w:p w14:paraId="7B34241B">
            <w:pPr>
              <w:pStyle w:val="6"/>
              <w:keepNext w:val="0"/>
              <w:keepLines w:val="0"/>
              <w:pageBreakBefore w:val="0"/>
              <w:widowControl w:val="0"/>
              <w:tabs>
                <w:tab w:val="left" w:pos="790"/>
              </w:tabs>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1.国家发明专利</w:t>
            </w:r>
            <w:r>
              <w:rPr>
                <w:rFonts w:hint="eastAsia" w:ascii="Times New Roman" w:hAnsi="Times New Roman"/>
                <w:color w:val="auto"/>
              </w:rPr>
              <w:t>：每1万元计1分，上限20分</w:t>
            </w:r>
          </w:p>
          <w:p w14:paraId="4E45F468">
            <w:pPr>
              <w:pStyle w:val="6"/>
              <w:keepNext w:val="0"/>
              <w:keepLines w:val="0"/>
              <w:pageBreakBefore w:val="0"/>
              <w:widowControl w:val="0"/>
              <w:tabs>
                <w:tab w:val="left" w:pos="792"/>
              </w:tabs>
              <w:kinsoku/>
              <w:wordWrap/>
              <w:overflowPunct/>
              <w:topLinePunct w:val="0"/>
              <w:bidi w:val="0"/>
              <w:adjustRightInd/>
              <w:snapToGrid/>
              <w:spacing w:line="280" w:lineRule="exact"/>
              <w:ind w:left="105" w:leftChars="50" w:right="105" w:rightChars="50" w:firstLine="424" w:firstLineChars="200"/>
              <w:rPr>
                <w:rFonts w:ascii="Times New Roman" w:hAnsi="Times New Roman"/>
                <w:color w:val="auto"/>
              </w:rPr>
            </w:pPr>
            <w:r>
              <w:rPr>
                <w:rFonts w:ascii="Times New Roman" w:hAnsi="Times New Roman"/>
                <w:color w:val="auto"/>
                <w:spacing w:val="1"/>
              </w:rPr>
              <w:t>2.国家实用新型专利</w:t>
            </w:r>
            <w:r>
              <w:rPr>
                <w:rFonts w:ascii="Times New Roman" w:hAnsi="Times New Roman" w:eastAsia="Times New Roman"/>
                <w:color w:val="auto"/>
              </w:rPr>
              <w:t>/</w:t>
            </w:r>
            <w:r>
              <w:rPr>
                <w:rFonts w:ascii="Times New Roman" w:hAnsi="Times New Roman"/>
                <w:color w:val="auto"/>
                <w:spacing w:val="1"/>
              </w:rPr>
              <w:t>外观新型专利</w:t>
            </w:r>
            <w:r>
              <w:rPr>
                <w:rFonts w:hint="eastAsia" w:ascii="Times New Roman" w:hAnsi="Times New Roman"/>
                <w:color w:val="auto"/>
                <w:spacing w:val="1"/>
              </w:rPr>
              <w:t>：</w:t>
            </w:r>
            <w:r>
              <w:rPr>
                <w:rFonts w:hint="eastAsia" w:ascii="Times New Roman" w:hAnsi="Times New Roman"/>
                <w:color w:val="auto"/>
              </w:rPr>
              <w:t>每1万元计1分，上限5分</w:t>
            </w:r>
          </w:p>
          <w:p w14:paraId="64182F3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77E77C8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lang w:val="en-US" w:eastAsia="zh-CN"/>
              </w:rPr>
              <w:t>1</w:t>
            </w:r>
            <w:r>
              <w:rPr>
                <w:rFonts w:ascii="Times New Roman" w:hAnsi="Times New Roman" w:eastAsia="楷体"/>
                <w:color w:val="auto"/>
              </w:rPr>
              <w:t>.专利内容应与申报专业相关</w:t>
            </w:r>
            <w:r>
              <w:rPr>
                <w:rFonts w:hint="eastAsia" w:ascii="Times New Roman" w:hAnsi="Times New Roman" w:eastAsia="楷体"/>
                <w:color w:val="auto"/>
              </w:rPr>
              <w:t>；</w:t>
            </w:r>
          </w:p>
          <w:p w14:paraId="1A0669DB">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hint="eastAsia" w:ascii="Times New Roman" w:hAnsi="Times New Roman" w:eastAsia="楷体"/>
                <w:color w:val="auto"/>
              </w:rPr>
            </w:pPr>
            <w:r>
              <w:rPr>
                <w:rFonts w:hint="eastAsia" w:ascii="Times New Roman" w:hAnsi="Times New Roman" w:eastAsia="楷体"/>
                <w:color w:val="auto"/>
                <w:lang w:val="en-US" w:eastAsia="zh-CN"/>
              </w:rPr>
              <w:t>2</w:t>
            </w:r>
            <w:r>
              <w:rPr>
                <w:rFonts w:ascii="Times New Roman" w:hAnsi="Times New Roman" w:eastAsia="楷体"/>
                <w:color w:val="auto"/>
              </w:rPr>
              <w:t>.</w:t>
            </w:r>
            <w:r>
              <w:rPr>
                <w:rFonts w:hint="eastAsia" w:ascii="Times New Roman" w:hAnsi="Times New Roman" w:eastAsia="楷体"/>
                <w:color w:val="auto"/>
              </w:rPr>
              <w:t>独立完成的，按分值的100%计算；2人完成的，第一发明人按分值的60%计算，第</w:t>
            </w:r>
            <w:r>
              <w:rPr>
                <w:rFonts w:hint="eastAsia" w:ascii="Times New Roman" w:hAnsi="Times New Roman" w:eastAsia="楷体"/>
                <w:color w:val="auto"/>
                <w:lang w:val="en-US" w:eastAsia="zh-CN"/>
              </w:rPr>
              <w:t>二发明人</w:t>
            </w:r>
            <w:r>
              <w:rPr>
                <w:rFonts w:hint="eastAsia" w:ascii="Times New Roman" w:hAnsi="Times New Roman" w:eastAsia="楷体"/>
                <w:color w:val="auto"/>
              </w:rPr>
              <w:t>按分值的40%计算；3人及以上完成的，第一发明人按分值的50%计算，其余50%分值由其他发明人平均分配；</w:t>
            </w:r>
          </w:p>
          <w:p w14:paraId="79ADBAFA">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lang w:val="en-US" w:eastAsia="zh-CN"/>
              </w:rPr>
              <w:t>3</w:t>
            </w:r>
            <w:r>
              <w:rPr>
                <w:rFonts w:ascii="Times New Roman" w:hAnsi="Times New Roman" w:eastAsia="楷体"/>
                <w:color w:val="auto"/>
              </w:rPr>
              <w:t>.专利权人</w:t>
            </w:r>
            <w:r>
              <w:rPr>
                <w:rFonts w:hint="eastAsia" w:ascii="Times New Roman" w:hAnsi="Times New Roman" w:eastAsia="楷体"/>
                <w:color w:val="auto"/>
              </w:rPr>
              <w:t>非</w:t>
            </w:r>
            <w:r>
              <w:rPr>
                <w:rFonts w:ascii="Times New Roman" w:hAnsi="Times New Roman" w:eastAsia="楷体"/>
                <w:color w:val="auto"/>
              </w:rPr>
              <w:t>秦皇岛职业技术学院的</w:t>
            </w:r>
            <w:r>
              <w:rPr>
                <w:rFonts w:hint="eastAsia" w:ascii="Times New Roman" w:hAnsi="Times New Roman" w:eastAsia="楷体"/>
                <w:color w:val="auto"/>
              </w:rPr>
              <w:t>不</w:t>
            </w:r>
            <w:r>
              <w:rPr>
                <w:rFonts w:ascii="Times New Roman" w:hAnsi="Times New Roman" w:eastAsia="楷体"/>
                <w:color w:val="auto"/>
              </w:rPr>
              <w:t>计分。</w:t>
            </w:r>
          </w:p>
        </w:tc>
      </w:tr>
      <w:tr w14:paraId="550ED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753" w:type="dxa"/>
            <w:vMerge w:val="restart"/>
            <w:vAlign w:val="center"/>
          </w:tcPr>
          <w:p w14:paraId="6BEFD9D7">
            <w:pPr>
              <w:pStyle w:val="6"/>
              <w:keepNext w:val="0"/>
              <w:keepLines w:val="0"/>
              <w:pageBreakBefore w:val="0"/>
              <w:widowControl w:val="0"/>
              <w:kinsoku/>
              <w:wordWrap/>
              <w:overflowPunct/>
              <w:topLinePunct w:val="0"/>
              <w:bidi w:val="0"/>
              <w:adjustRightInd/>
              <w:snapToGrid/>
              <w:ind w:left="164" w:right="158"/>
              <w:rPr>
                <w:rFonts w:ascii="Times New Roman" w:hAnsi="Times New Roman"/>
                <w:color w:val="auto"/>
              </w:rPr>
            </w:pPr>
            <w:r>
              <w:rPr>
                <w:rFonts w:ascii="Times New Roman" w:hAnsi="Times New Roman"/>
                <w:color w:val="auto"/>
              </w:rPr>
              <w:t>参与学校建设</w:t>
            </w:r>
          </w:p>
        </w:tc>
        <w:tc>
          <w:tcPr>
            <w:tcW w:w="754" w:type="dxa"/>
            <w:vAlign w:val="center"/>
          </w:tcPr>
          <w:p w14:paraId="50C8CE5A">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专项</w:t>
            </w:r>
          </w:p>
          <w:p w14:paraId="3DCC97F9">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建设</w:t>
            </w:r>
          </w:p>
        </w:tc>
        <w:tc>
          <w:tcPr>
            <w:tcW w:w="9011" w:type="dxa"/>
            <w:vAlign w:val="center"/>
          </w:tcPr>
          <w:p w14:paraId="74A97E9E">
            <w:pPr>
              <w:pStyle w:val="6"/>
              <w:keepNext w:val="0"/>
              <w:keepLines w:val="0"/>
              <w:pageBreakBefore w:val="0"/>
              <w:widowControl w:val="0"/>
              <w:tabs>
                <w:tab w:val="left" w:pos="792"/>
              </w:tabs>
              <w:kinsoku/>
              <w:wordWrap/>
              <w:overflowPunct/>
              <w:topLinePunct w:val="0"/>
              <w:bidi w:val="0"/>
              <w:adjustRightInd/>
              <w:snapToGrid/>
              <w:spacing w:line="280" w:lineRule="exact"/>
              <w:ind w:left="105" w:leftChars="50" w:right="105" w:rightChars="50" w:firstLine="424" w:firstLineChars="200"/>
              <w:rPr>
                <w:rFonts w:ascii="Times New Roman" w:hAnsi="Times New Roman"/>
                <w:color w:val="auto"/>
                <w:spacing w:val="1"/>
              </w:rPr>
            </w:pPr>
            <w:r>
              <w:rPr>
                <w:rFonts w:ascii="Times New Roman" w:hAnsi="Times New Roman"/>
                <w:color w:val="auto"/>
                <w:spacing w:val="1"/>
              </w:rPr>
              <w:t>1.国家级建设项目下设专项工作组：负责人</w:t>
            </w:r>
            <w:r>
              <w:rPr>
                <w:rFonts w:ascii="Times New Roman" w:hAnsi="Times New Roman"/>
                <w:color w:val="auto"/>
              </w:rPr>
              <w:t>（</w:t>
            </w:r>
            <w:r>
              <w:rPr>
                <w:rFonts w:hint="eastAsia" w:ascii="Times New Roman" w:hAnsi="Times New Roman"/>
                <w:color w:val="auto"/>
              </w:rPr>
              <w:t>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3.6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2.4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10</w:t>
            </w:r>
            <w:r>
              <w:rPr>
                <w:rFonts w:ascii="Times New Roman" w:hAnsi="Times New Roman"/>
                <w:color w:val="auto"/>
              </w:rPr>
              <w:t>名（</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，11-15名</w:t>
            </w:r>
            <w:r>
              <w:rPr>
                <w:rFonts w:ascii="Times New Roman" w:hAnsi="Times New Roman"/>
                <w:color w:val="auto"/>
              </w:rPr>
              <w:t>（</w:t>
            </w:r>
            <w:r>
              <w:rPr>
                <w:rFonts w:hint="eastAsia" w:ascii="Times New Roman" w:hAnsi="Times New Roman"/>
                <w:color w:val="auto"/>
              </w:rPr>
              <w:t>0.6</w:t>
            </w:r>
            <w:r>
              <w:rPr>
                <w:rFonts w:ascii="Times New Roman" w:hAnsi="Times New Roman"/>
                <w:color w:val="auto"/>
              </w:rPr>
              <w:t>分）</w:t>
            </w:r>
          </w:p>
          <w:p w14:paraId="2688C012">
            <w:pPr>
              <w:pStyle w:val="6"/>
              <w:keepNext w:val="0"/>
              <w:keepLines w:val="0"/>
              <w:pageBreakBefore w:val="0"/>
              <w:widowControl w:val="0"/>
              <w:tabs>
                <w:tab w:val="left" w:pos="792"/>
              </w:tabs>
              <w:kinsoku/>
              <w:wordWrap/>
              <w:overflowPunct/>
              <w:topLinePunct w:val="0"/>
              <w:bidi w:val="0"/>
              <w:adjustRightInd/>
              <w:snapToGrid/>
              <w:spacing w:line="280" w:lineRule="exact"/>
              <w:ind w:left="105" w:leftChars="50" w:right="105" w:rightChars="50" w:firstLine="424" w:firstLineChars="200"/>
              <w:rPr>
                <w:rFonts w:ascii="Times New Roman" w:hAnsi="Times New Roman"/>
                <w:color w:val="auto"/>
                <w:spacing w:val="1"/>
              </w:rPr>
            </w:pPr>
            <w:r>
              <w:rPr>
                <w:rFonts w:ascii="Times New Roman" w:hAnsi="Times New Roman"/>
                <w:color w:val="auto"/>
                <w:spacing w:val="1"/>
              </w:rPr>
              <w:t>2.国家级建设项目下设建设任务组：负责人</w:t>
            </w:r>
            <w:r>
              <w:rPr>
                <w:rFonts w:ascii="Times New Roman" w:hAnsi="Times New Roman"/>
                <w:color w:val="auto"/>
              </w:rPr>
              <w:t>（</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2.4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1.6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-10名（</w:t>
            </w:r>
            <w:r>
              <w:rPr>
                <w:rFonts w:hint="eastAsia" w:ascii="Times New Roman" w:hAnsi="Times New Roman"/>
                <w:color w:val="auto"/>
              </w:rPr>
              <w:t>0.8</w:t>
            </w:r>
            <w:r>
              <w:rPr>
                <w:rFonts w:ascii="Times New Roman" w:hAnsi="Times New Roman"/>
                <w:color w:val="auto"/>
              </w:rPr>
              <w:t>分）</w:t>
            </w:r>
          </w:p>
          <w:p w14:paraId="28F23D29">
            <w:pPr>
              <w:pStyle w:val="6"/>
              <w:keepNext w:val="0"/>
              <w:keepLines w:val="0"/>
              <w:pageBreakBefore w:val="0"/>
              <w:widowControl w:val="0"/>
              <w:tabs>
                <w:tab w:val="left" w:pos="792"/>
              </w:tabs>
              <w:kinsoku/>
              <w:wordWrap/>
              <w:overflowPunct/>
              <w:topLinePunct w:val="0"/>
              <w:bidi w:val="0"/>
              <w:adjustRightInd/>
              <w:snapToGrid/>
              <w:spacing w:line="280" w:lineRule="exact"/>
              <w:ind w:left="105" w:leftChars="50" w:right="105" w:rightChars="50" w:firstLine="424" w:firstLineChars="200"/>
              <w:rPr>
                <w:rFonts w:ascii="Times New Roman" w:hAnsi="Times New Roman"/>
                <w:color w:val="auto"/>
                <w:spacing w:val="1"/>
              </w:rPr>
            </w:pPr>
            <w:r>
              <w:rPr>
                <w:rFonts w:ascii="Times New Roman" w:hAnsi="Times New Roman"/>
                <w:color w:val="auto"/>
                <w:spacing w:val="1"/>
              </w:rPr>
              <w:t>3.省级建设项目</w:t>
            </w:r>
            <w:r>
              <w:rPr>
                <w:rFonts w:hint="eastAsia" w:ascii="Times New Roman" w:hAnsi="Times New Roman"/>
                <w:color w:val="auto"/>
                <w:spacing w:val="1"/>
              </w:rPr>
              <w:t>下设</w:t>
            </w:r>
            <w:r>
              <w:rPr>
                <w:rFonts w:ascii="Times New Roman" w:hAnsi="Times New Roman"/>
                <w:color w:val="auto"/>
                <w:spacing w:val="1"/>
              </w:rPr>
              <w:t>专项工作组：负责人</w:t>
            </w:r>
            <w:r>
              <w:rPr>
                <w:rFonts w:ascii="Times New Roman" w:hAnsi="Times New Roman"/>
                <w:color w:val="auto"/>
              </w:rPr>
              <w:t>（</w:t>
            </w:r>
            <w:r>
              <w:rPr>
                <w:rFonts w:hint="eastAsia" w:ascii="Times New Roman" w:hAnsi="Times New Roman"/>
                <w:color w:val="auto"/>
              </w:rPr>
              <w:t>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2.4</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1.6</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w:t>
            </w:r>
            <w:r>
              <w:rPr>
                <w:rFonts w:hint="eastAsia" w:ascii="Times New Roman" w:hAnsi="Times New Roman"/>
                <w:color w:val="auto"/>
              </w:rPr>
              <w:t>7</w:t>
            </w:r>
            <w:r>
              <w:rPr>
                <w:rFonts w:ascii="Times New Roman" w:hAnsi="Times New Roman"/>
                <w:color w:val="auto"/>
              </w:rPr>
              <w:t>-</w:t>
            </w:r>
            <w:r>
              <w:rPr>
                <w:rFonts w:hint="eastAsia" w:ascii="Times New Roman" w:hAnsi="Times New Roman"/>
                <w:color w:val="auto"/>
              </w:rPr>
              <w:t>8</w:t>
            </w:r>
            <w:r>
              <w:rPr>
                <w:rFonts w:ascii="Times New Roman" w:hAnsi="Times New Roman"/>
                <w:color w:val="auto"/>
              </w:rPr>
              <w:t>名（</w:t>
            </w:r>
            <w:r>
              <w:rPr>
                <w:rFonts w:hint="eastAsia" w:ascii="Times New Roman" w:hAnsi="Times New Roman"/>
                <w:color w:val="auto"/>
              </w:rPr>
              <w:t>0.8</w:t>
            </w:r>
            <w:r>
              <w:rPr>
                <w:rFonts w:ascii="Times New Roman" w:hAnsi="Times New Roman"/>
                <w:color w:val="auto"/>
              </w:rPr>
              <w:t>分）</w:t>
            </w:r>
          </w:p>
          <w:p w14:paraId="344B969C">
            <w:pPr>
              <w:pStyle w:val="6"/>
              <w:keepNext w:val="0"/>
              <w:keepLines w:val="0"/>
              <w:pageBreakBefore w:val="0"/>
              <w:widowControl w:val="0"/>
              <w:tabs>
                <w:tab w:val="left" w:pos="792"/>
              </w:tabs>
              <w:kinsoku/>
              <w:wordWrap/>
              <w:overflowPunct/>
              <w:topLinePunct w:val="0"/>
              <w:bidi w:val="0"/>
              <w:adjustRightInd/>
              <w:snapToGrid/>
              <w:spacing w:line="280" w:lineRule="exact"/>
              <w:ind w:left="105" w:leftChars="50" w:right="105" w:rightChars="50" w:firstLine="424" w:firstLineChars="200"/>
              <w:rPr>
                <w:rFonts w:ascii="Times New Roman" w:hAnsi="Times New Roman"/>
                <w:color w:val="auto"/>
                <w:spacing w:val="1"/>
              </w:rPr>
            </w:pPr>
            <w:r>
              <w:rPr>
                <w:rFonts w:ascii="Times New Roman" w:hAnsi="Times New Roman"/>
                <w:color w:val="auto"/>
                <w:spacing w:val="1"/>
              </w:rPr>
              <w:t>4.省级建设项目下设建设任务组：负责人</w:t>
            </w:r>
            <w:r>
              <w:rPr>
                <w:rFonts w:ascii="Times New Roman" w:hAnsi="Times New Roman"/>
                <w:color w:val="auto"/>
              </w:rPr>
              <w:t>（</w:t>
            </w:r>
            <w:r>
              <w:rPr>
                <w:rFonts w:hint="eastAsia" w:ascii="Times New Roman" w:hAnsi="Times New Roman"/>
                <w:color w:val="auto"/>
              </w:rPr>
              <w:t>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第2-3名（</w:t>
            </w:r>
            <w:r>
              <w:rPr>
                <w:rFonts w:hint="eastAsia" w:ascii="Times New Roman" w:hAnsi="Times New Roman"/>
                <w:color w:val="auto"/>
              </w:rPr>
              <w:t>1.2</w:t>
            </w:r>
            <w:r>
              <w:rPr>
                <w:rFonts w:ascii="Times New Roman" w:hAnsi="Times New Roman"/>
                <w:color w:val="auto"/>
              </w:rPr>
              <w:t>分）</w:t>
            </w:r>
            <w:r>
              <w:rPr>
                <w:rFonts w:hint="eastAsia" w:ascii="Times New Roman" w:hAnsi="Times New Roman"/>
                <w:color w:val="auto"/>
              </w:rPr>
              <w:t>，</w:t>
            </w:r>
            <w:r>
              <w:rPr>
                <w:rFonts w:ascii="Times New Roman" w:hAnsi="Times New Roman"/>
                <w:color w:val="auto"/>
              </w:rPr>
              <w:t>第4-</w:t>
            </w:r>
            <w:r>
              <w:rPr>
                <w:rFonts w:hint="eastAsia" w:ascii="Times New Roman" w:hAnsi="Times New Roman"/>
                <w:color w:val="auto"/>
              </w:rPr>
              <w:t>6</w:t>
            </w:r>
            <w:r>
              <w:rPr>
                <w:rFonts w:ascii="Times New Roman" w:hAnsi="Times New Roman"/>
                <w:color w:val="auto"/>
              </w:rPr>
              <w:t>名（</w:t>
            </w:r>
            <w:r>
              <w:rPr>
                <w:rFonts w:hint="eastAsia" w:ascii="Times New Roman" w:hAnsi="Times New Roman"/>
                <w:color w:val="auto"/>
              </w:rPr>
              <w:t>0.8</w:t>
            </w:r>
            <w:r>
              <w:rPr>
                <w:rFonts w:ascii="Times New Roman" w:hAnsi="Times New Roman"/>
                <w:color w:val="auto"/>
              </w:rPr>
              <w:t>分）</w:t>
            </w:r>
          </w:p>
          <w:p w14:paraId="54F2261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ascii="Times New Roman" w:hAnsi="Times New Roman" w:eastAsia="楷体"/>
                <w:color w:val="auto"/>
              </w:rPr>
              <w:t>备注：</w:t>
            </w:r>
          </w:p>
          <w:p w14:paraId="111D926F">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1.专项建设计分有效期截止2028年12月31日；</w:t>
            </w:r>
          </w:p>
          <w:p w14:paraId="123116B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2</w:t>
            </w:r>
            <w:r>
              <w:rPr>
                <w:rFonts w:ascii="Times New Roman" w:hAnsi="Times New Roman" w:eastAsia="楷体"/>
                <w:color w:val="auto"/>
              </w:rPr>
              <w:t>.累计计分，最高限3项</w:t>
            </w:r>
            <w:r>
              <w:rPr>
                <w:rFonts w:hint="eastAsia" w:ascii="Times New Roman" w:hAnsi="Times New Roman" w:eastAsia="楷体"/>
                <w:color w:val="auto"/>
              </w:rPr>
              <w:t>；</w:t>
            </w:r>
          </w:p>
          <w:p w14:paraId="6799FB3C">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3.</w:t>
            </w:r>
            <w:r>
              <w:rPr>
                <w:rFonts w:ascii="Times New Roman" w:hAnsi="Times New Roman" w:eastAsia="楷体"/>
                <w:color w:val="auto"/>
              </w:rPr>
              <w:t>项目认定标准以附录6为准</w:t>
            </w:r>
            <w:r>
              <w:rPr>
                <w:rFonts w:hint="eastAsia" w:ascii="Times New Roman" w:hAnsi="Times New Roman" w:eastAsia="楷体"/>
                <w:color w:val="auto"/>
              </w:rPr>
              <w:t>；</w:t>
            </w:r>
          </w:p>
          <w:p w14:paraId="5B942C6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4.创新发展行动计划（2015-2018年）、创新发展行动计划（2019-2021年）与课程建设中相同的课程不重复计分，取最高分计；参与同一阶段（时期）同一建设项目内不同建设任务或专项建设不累计计分，取最高分计1次；国家骨干高职院校、创新发展行动计划（2019-2021年）分别按1个项目计分；创新发展行动计划（2015-2018年）、现代学徒制（第二批试点）、导游专业教学资源库三项合并按1个项目计分；</w:t>
            </w:r>
          </w:p>
          <w:p w14:paraId="1768F2A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5.参与同一建设任务或同一专项建设在不同阶段（时期）连续建设，不累计计分，取最高分计1次；</w:t>
            </w:r>
          </w:p>
          <w:p w14:paraId="03650B19">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6</w:t>
            </w:r>
            <w:r>
              <w:rPr>
                <w:rFonts w:ascii="Times New Roman" w:hAnsi="Times New Roman" w:eastAsia="楷体"/>
                <w:color w:val="auto"/>
              </w:rPr>
              <w:t>.建设项目必须已完成并验收合格</w:t>
            </w:r>
            <w:r>
              <w:rPr>
                <w:rFonts w:hint="eastAsia" w:ascii="Times New Roman" w:hAnsi="Times New Roman" w:eastAsia="楷体"/>
                <w:color w:val="auto"/>
              </w:rPr>
              <w:t>，验收不合格不计分；</w:t>
            </w:r>
          </w:p>
          <w:p w14:paraId="0885DC94">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7</w:t>
            </w:r>
            <w:r>
              <w:rPr>
                <w:rFonts w:ascii="Times New Roman" w:hAnsi="Times New Roman" w:eastAsia="楷体"/>
                <w:color w:val="auto"/>
              </w:rPr>
              <w:t>.人员名单以教务处备案为准，由于个人原因中途退出不计分</w:t>
            </w:r>
            <w:r>
              <w:rPr>
                <w:rFonts w:hint="eastAsia" w:ascii="Times New Roman" w:hAnsi="Times New Roman" w:eastAsia="楷体"/>
                <w:color w:val="auto"/>
              </w:rPr>
              <w:t>；</w:t>
            </w:r>
          </w:p>
          <w:p w14:paraId="6C720068">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8</w:t>
            </w:r>
            <w:r>
              <w:rPr>
                <w:rFonts w:ascii="Times New Roman" w:hAnsi="Times New Roman" w:eastAsia="楷体"/>
                <w:color w:val="auto"/>
              </w:rPr>
              <w:t>.项目建设办公室成员参照专项工作组计分</w:t>
            </w:r>
            <w:r>
              <w:rPr>
                <w:rFonts w:hint="eastAsia" w:ascii="Times New Roman" w:hAnsi="Times New Roman" w:eastAsia="楷体"/>
                <w:color w:val="auto"/>
              </w:rPr>
              <w:t>；</w:t>
            </w:r>
          </w:p>
          <w:p w14:paraId="49A0362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eastAsia="楷体"/>
                <w:color w:val="auto"/>
              </w:rPr>
            </w:pPr>
            <w:r>
              <w:rPr>
                <w:rFonts w:hint="eastAsia" w:ascii="Times New Roman" w:hAnsi="Times New Roman" w:eastAsia="楷体"/>
                <w:color w:val="auto"/>
              </w:rPr>
              <w:t>9.本校教师参与外单位建设项目的，</w:t>
            </w:r>
            <w:r>
              <w:rPr>
                <w:rFonts w:ascii="Times New Roman" w:hAnsi="Times New Roman" w:eastAsia="楷体"/>
                <w:color w:val="auto"/>
              </w:rPr>
              <w:t>降档</w:t>
            </w:r>
            <w:r>
              <w:rPr>
                <w:rFonts w:hint="eastAsia" w:ascii="Times New Roman" w:hAnsi="Times New Roman" w:eastAsia="楷体"/>
                <w:color w:val="auto"/>
              </w:rPr>
              <w:t>计分</w:t>
            </w:r>
            <w:r>
              <w:rPr>
                <w:rFonts w:ascii="Times New Roman" w:hAnsi="Times New Roman" w:eastAsia="楷体"/>
                <w:color w:val="auto"/>
              </w:rPr>
              <w:t>，即国家级</w:t>
            </w:r>
            <w:r>
              <w:rPr>
                <w:rFonts w:hint="eastAsia" w:ascii="Times New Roman" w:hAnsi="Times New Roman" w:eastAsia="楷体"/>
                <w:color w:val="auto"/>
              </w:rPr>
              <w:t>按</w:t>
            </w:r>
            <w:r>
              <w:rPr>
                <w:rFonts w:ascii="Times New Roman" w:hAnsi="Times New Roman" w:eastAsia="楷体"/>
                <w:color w:val="auto"/>
              </w:rPr>
              <w:t>省级</w:t>
            </w:r>
            <w:r>
              <w:rPr>
                <w:rFonts w:hint="eastAsia" w:ascii="Times New Roman" w:hAnsi="Times New Roman" w:eastAsia="楷体"/>
                <w:color w:val="auto"/>
              </w:rPr>
              <w:t>计分</w:t>
            </w:r>
            <w:r>
              <w:rPr>
                <w:rFonts w:ascii="Times New Roman" w:hAnsi="Times New Roman" w:eastAsia="楷体"/>
                <w:color w:val="auto"/>
              </w:rPr>
              <w:t>。</w:t>
            </w:r>
          </w:p>
        </w:tc>
      </w:tr>
      <w:tr w14:paraId="6A76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jc w:val="center"/>
        </w:trPr>
        <w:tc>
          <w:tcPr>
            <w:tcW w:w="753" w:type="dxa"/>
            <w:vMerge w:val="continue"/>
            <w:tcBorders>
              <w:top w:val="nil"/>
            </w:tcBorders>
            <w:vAlign w:val="center"/>
          </w:tcPr>
          <w:p w14:paraId="787BE568">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5BAE47EB">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社会</w:t>
            </w:r>
          </w:p>
          <w:p w14:paraId="55584C7F">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服务</w:t>
            </w:r>
          </w:p>
        </w:tc>
        <w:tc>
          <w:tcPr>
            <w:tcW w:w="9011" w:type="dxa"/>
            <w:vAlign w:val="center"/>
          </w:tcPr>
          <w:p w14:paraId="24E50D06">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00" w:firstLineChars="200"/>
              <w:rPr>
                <w:rFonts w:hint="eastAsia" w:ascii="Times New Roman" w:hAnsi="Times New Roman"/>
                <w:color w:val="auto"/>
              </w:rPr>
            </w:pPr>
            <w:r>
              <w:rPr>
                <w:rFonts w:hint="eastAsia" w:ascii="Times New Roman" w:hAnsi="Times New Roman"/>
                <w:color w:val="auto"/>
                <w:spacing w:val="-5"/>
              </w:rPr>
              <w:t>1.</w:t>
            </w:r>
            <w:r>
              <w:rPr>
                <w:rFonts w:ascii="Times New Roman" w:hAnsi="Times New Roman"/>
                <w:color w:val="auto"/>
                <w:spacing w:val="-5"/>
              </w:rPr>
              <w:t>承担各级政府部门指</w:t>
            </w:r>
            <w:r>
              <w:rPr>
                <w:rFonts w:ascii="Times New Roman" w:hAnsi="Times New Roman"/>
                <w:color w:val="auto"/>
              </w:rPr>
              <w:t>派且由学院组织</w:t>
            </w:r>
            <w:r>
              <w:rPr>
                <w:rFonts w:hint="eastAsia" w:ascii="Times New Roman" w:hAnsi="Times New Roman"/>
                <w:color w:val="auto"/>
              </w:rPr>
              <w:t>部门</w:t>
            </w:r>
            <w:r>
              <w:rPr>
                <w:rFonts w:ascii="Times New Roman" w:hAnsi="Times New Roman"/>
                <w:color w:val="auto"/>
              </w:rPr>
              <w:t>、人事部门实施的</w:t>
            </w:r>
            <w:r>
              <w:rPr>
                <w:rFonts w:ascii="Times New Roman" w:hAnsi="Times New Roman"/>
                <w:color w:val="auto"/>
                <w:spacing w:val="-5"/>
              </w:rPr>
              <w:t>扶贫、支教、对口援建等专项任务，每学期计</w:t>
            </w:r>
            <w:r>
              <w:rPr>
                <w:rFonts w:hint="eastAsia" w:ascii="Times New Roman" w:hAnsi="Times New Roman"/>
                <w:color w:val="auto"/>
              </w:rPr>
              <w:t>2</w:t>
            </w:r>
            <w:r>
              <w:rPr>
                <w:rFonts w:ascii="Times New Roman" w:hAnsi="Times New Roman"/>
                <w:color w:val="auto"/>
                <w:spacing w:val="-5"/>
              </w:rPr>
              <w:t>分，不足一学期不计分</w:t>
            </w:r>
            <w:r>
              <w:rPr>
                <w:rFonts w:hint="eastAsia" w:ascii="Times New Roman" w:hAnsi="Times New Roman"/>
                <w:color w:val="auto"/>
                <w:spacing w:val="-5"/>
              </w:rPr>
              <w:t>，</w:t>
            </w:r>
            <w:r>
              <w:rPr>
                <w:rFonts w:ascii="Times New Roman" w:hAnsi="Times New Roman"/>
                <w:color w:val="auto"/>
                <w:spacing w:val="-5"/>
              </w:rPr>
              <w:t>最高限</w:t>
            </w:r>
            <w:r>
              <w:rPr>
                <w:rFonts w:hint="eastAsia" w:ascii="Times New Roman" w:hAnsi="Times New Roman"/>
                <w:color w:val="auto"/>
                <w:spacing w:val="-5"/>
              </w:rPr>
              <w:t>12</w:t>
            </w:r>
            <w:r>
              <w:rPr>
                <w:rFonts w:ascii="Times New Roman" w:hAnsi="Times New Roman"/>
                <w:color w:val="auto"/>
                <w:spacing w:val="-5"/>
              </w:rPr>
              <w:t>分。</w:t>
            </w:r>
          </w:p>
        </w:tc>
      </w:tr>
      <w:tr w14:paraId="29506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jc w:val="center"/>
        </w:trPr>
        <w:tc>
          <w:tcPr>
            <w:tcW w:w="753" w:type="dxa"/>
            <w:vMerge w:val="continue"/>
            <w:tcBorders>
              <w:top w:val="nil"/>
            </w:tcBorders>
            <w:vAlign w:val="center"/>
          </w:tcPr>
          <w:p w14:paraId="43EB15C1">
            <w:pPr>
              <w:keepNext w:val="0"/>
              <w:keepLines w:val="0"/>
              <w:pageBreakBefore w:val="0"/>
              <w:widowControl w:val="0"/>
              <w:kinsoku/>
              <w:wordWrap/>
              <w:overflowPunct/>
              <w:topLinePunct w:val="0"/>
              <w:bidi w:val="0"/>
              <w:adjustRightInd/>
              <w:snapToGrid/>
              <w:rPr>
                <w:rFonts w:ascii="Times New Roman" w:hAnsi="Times New Roman"/>
                <w:color w:val="auto"/>
                <w:sz w:val="2"/>
                <w:szCs w:val="2"/>
              </w:rPr>
            </w:pPr>
          </w:p>
        </w:tc>
        <w:tc>
          <w:tcPr>
            <w:tcW w:w="754" w:type="dxa"/>
            <w:vAlign w:val="center"/>
          </w:tcPr>
          <w:p w14:paraId="25EC6ADB">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专业</w:t>
            </w:r>
          </w:p>
          <w:p w14:paraId="45888C34">
            <w:pPr>
              <w:pStyle w:val="6"/>
              <w:keepNext w:val="0"/>
              <w:keepLines w:val="0"/>
              <w:pageBreakBefore w:val="0"/>
              <w:widowControl w:val="0"/>
              <w:kinsoku/>
              <w:wordWrap/>
              <w:overflowPunct/>
              <w:topLinePunct w:val="0"/>
              <w:bidi w:val="0"/>
              <w:adjustRightInd/>
              <w:snapToGrid/>
              <w:jc w:val="center"/>
              <w:rPr>
                <w:rFonts w:ascii="Times New Roman" w:hAnsi="Times New Roman"/>
                <w:color w:val="auto"/>
              </w:rPr>
            </w:pPr>
            <w:r>
              <w:rPr>
                <w:rFonts w:ascii="Times New Roman" w:hAnsi="Times New Roman"/>
                <w:color w:val="auto"/>
              </w:rPr>
              <w:t>建设</w:t>
            </w:r>
          </w:p>
        </w:tc>
        <w:tc>
          <w:tcPr>
            <w:tcW w:w="9011" w:type="dxa"/>
            <w:vAlign w:val="center"/>
          </w:tcPr>
          <w:p w14:paraId="1288E703">
            <w:pPr>
              <w:pStyle w:val="6"/>
              <w:keepNext w:val="0"/>
              <w:keepLines w:val="0"/>
              <w:pageBreakBefore w:val="0"/>
              <w:widowControl w:val="0"/>
              <w:kinsoku/>
              <w:wordWrap/>
              <w:overflowPunct/>
              <w:topLinePunct w:val="0"/>
              <w:bidi w:val="0"/>
              <w:adjustRightInd/>
              <w:snapToGrid/>
              <w:spacing w:line="280" w:lineRule="exact"/>
              <w:ind w:left="105" w:leftChars="50" w:right="105" w:rightChars="50" w:firstLine="420" w:firstLineChars="200"/>
              <w:rPr>
                <w:rFonts w:ascii="Times New Roman" w:hAnsi="Times New Roman"/>
                <w:color w:val="auto"/>
              </w:rPr>
            </w:pPr>
            <w:r>
              <w:rPr>
                <w:rFonts w:ascii="Times New Roman" w:hAnsi="Times New Roman"/>
                <w:color w:val="auto"/>
              </w:rPr>
              <w:t>担任</w:t>
            </w:r>
            <w:r>
              <w:rPr>
                <w:rFonts w:hint="eastAsia" w:ascii="Times New Roman" w:hAnsi="Times New Roman"/>
                <w:color w:val="auto"/>
              </w:rPr>
              <w:t>教研室主任（</w:t>
            </w:r>
            <w:r>
              <w:rPr>
                <w:rFonts w:ascii="Times New Roman" w:hAnsi="Times New Roman"/>
                <w:color w:val="auto"/>
              </w:rPr>
              <w:t>专业带头人</w:t>
            </w:r>
            <w:r>
              <w:rPr>
                <w:rFonts w:hint="eastAsia" w:ascii="Times New Roman" w:hAnsi="Times New Roman"/>
                <w:color w:val="auto"/>
              </w:rPr>
              <w:t>）</w:t>
            </w:r>
            <w:r>
              <w:rPr>
                <w:rFonts w:ascii="Times New Roman" w:hAnsi="Times New Roman"/>
                <w:color w:val="auto"/>
              </w:rPr>
              <w:t>满1年计1分，最高</w:t>
            </w:r>
            <w:r>
              <w:rPr>
                <w:rFonts w:hint="eastAsia" w:ascii="Times New Roman" w:hAnsi="Times New Roman"/>
                <w:color w:val="auto"/>
              </w:rPr>
              <w:t>限</w:t>
            </w:r>
            <w:r>
              <w:rPr>
                <w:rFonts w:ascii="Times New Roman" w:hAnsi="Times New Roman"/>
                <w:color w:val="auto"/>
              </w:rPr>
              <w:t>6分</w:t>
            </w:r>
            <w:r>
              <w:rPr>
                <w:rFonts w:hint="eastAsia" w:ascii="Times New Roman" w:hAnsi="Times New Roman"/>
                <w:color w:val="auto"/>
              </w:rPr>
              <w:t>。</w:t>
            </w:r>
          </w:p>
        </w:tc>
      </w:tr>
    </w:tbl>
    <w:p w14:paraId="5CD8066D">
      <w:pPr>
        <w:keepNext w:val="0"/>
        <w:keepLines w:val="0"/>
        <w:pageBreakBefore w:val="0"/>
        <w:widowControl w:val="0"/>
        <w:kinsoku/>
        <w:wordWrap/>
        <w:overflowPunct/>
        <w:topLinePunct w:val="0"/>
        <w:bidi w:val="0"/>
        <w:adjustRightInd/>
        <w:snapToGrid/>
        <w:spacing w:before="156" w:beforeLines="50" w:line="280" w:lineRule="exact"/>
        <w:ind w:left="105" w:leftChars="50" w:right="105" w:rightChars="50"/>
        <w:rPr>
          <w:rFonts w:ascii="仿宋" w:hAnsi="仿宋" w:eastAsia="仿宋" w:cs="仿宋"/>
          <w:b/>
          <w:color w:val="auto"/>
          <w:sz w:val="24"/>
          <w:szCs w:val="28"/>
        </w:rPr>
      </w:pPr>
      <w:r>
        <w:rPr>
          <w:rFonts w:hint="eastAsia" w:ascii="仿宋" w:hAnsi="仿宋" w:eastAsia="仿宋" w:cs="仿宋"/>
          <w:b/>
          <w:color w:val="auto"/>
          <w:sz w:val="24"/>
          <w:szCs w:val="28"/>
        </w:rPr>
        <w:t>说明：</w:t>
      </w:r>
    </w:p>
    <w:p w14:paraId="534AE2FD">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1.本方案所称“以上”含本级（本数量级），有特殊说明的除外。</w:t>
      </w:r>
    </w:p>
    <w:p w14:paraId="5F6518A0">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2.河北省职称评审条件中“主要编者”仅指主编及副主编。</w:t>
      </w:r>
    </w:p>
    <w:p w14:paraId="06ACD9A9">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3.正常晋升人员所有业绩均应为任现职以后取得，任现职当年取得的业绩，如取得时间在当年学院开展评审工作收集材料时间截点之后的，视为任现职后取得。</w:t>
      </w:r>
    </w:p>
    <w:p w14:paraId="53BFACB6">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4.转评系列（专业）前后从事同级别的专业技术工作年限累计计算，相关的业绩成果可以在申报高一级职称时使用，转评后，第二年起才可申报相应高一级专业技术系列（专业）职称评审。</w:t>
      </w:r>
    </w:p>
    <w:p w14:paraId="61A96E71">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5.同一业绩成果不得重复使用，同一业绩成果获得不同级别奖励的以最高级别计分，不重复计算。同一业绩成果指名称相同、类型相同的业绩，或名称略有不同，内容大致相同的业绩。</w:t>
      </w:r>
    </w:p>
    <w:p w14:paraId="1626EDEE">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6.相关附录每年视情况进行修订，当年未收录在目录中的业绩成果均不计分。</w:t>
      </w:r>
    </w:p>
    <w:p w14:paraId="236DD867">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7.“业绩成果应与申报专业相关”包含本人从事专业及相关专业业绩成果，职教研究方面业绩成果，课程思政、学生思想道德建设方面业绩成果。</w:t>
      </w:r>
    </w:p>
    <w:p w14:paraId="464B7328">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8.教学工作业绩成果、专项建设以教务处备案为准，科研工作业绩成果以科研与社会服务中心备案为准，未经备案的不予认定。</w:t>
      </w:r>
    </w:p>
    <w:p w14:paraId="416CA075">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9.对于评审过程中出现的争议问题，由人事处提交推委会研究决定。</w:t>
      </w:r>
    </w:p>
    <w:p w14:paraId="46BF3532">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10.学院引进的高层次人才，业绩成果认定标准单独研究。</w:t>
      </w:r>
    </w:p>
    <w:p w14:paraId="3C660448">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11.学生思想政治教育专业单独评审，单独建立评价体系。</w:t>
      </w:r>
    </w:p>
    <w:p w14:paraId="61E4A96F">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12.原量化测评方案与本方案不一致的，以本方案为准。</w:t>
      </w:r>
    </w:p>
    <w:p w14:paraId="2B12DB6D">
      <w:pPr>
        <w:pStyle w:val="7"/>
        <w:keepNext w:val="0"/>
        <w:keepLines w:val="0"/>
        <w:pageBreakBefore w:val="0"/>
        <w:widowControl w:val="0"/>
        <w:tabs>
          <w:tab w:val="left" w:pos="1229"/>
        </w:tabs>
        <w:kinsoku/>
        <w:wordWrap/>
        <w:overflowPunct/>
        <w:topLinePunct w:val="0"/>
        <w:autoSpaceDE w:val="0"/>
        <w:autoSpaceDN w:val="0"/>
        <w:bidi w:val="0"/>
        <w:adjustRightInd/>
        <w:snapToGrid/>
        <w:spacing w:before="0" w:after="78" w:afterLines="25" w:line="280" w:lineRule="exact"/>
        <w:ind w:left="105" w:leftChars="50" w:right="105" w:rightChars="50" w:firstLine="480" w:firstLineChars="200"/>
        <w:rPr>
          <w:rFonts w:ascii="仿宋" w:hAnsi="仿宋" w:eastAsia="仿宋" w:cs="仿宋"/>
          <w:color w:val="auto"/>
          <w:sz w:val="24"/>
          <w:szCs w:val="28"/>
        </w:rPr>
      </w:pPr>
      <w:r>
        <w:rPr>
          <w:rFonts w:hint="eastAsia" w:ascii="仿宋" w:hAnsi="仿宋" w:eastAsia="仿宋" w:cs="仿宋"/>
          <w:color w:val="auto"/>
          <w:sz w:val="24"/>
          <w:szCs w:val="28"/>
        </w:rPr>
        <w:t>1</w:t>
      </w:r>
      <w:r>
        <w:rPr>
          <w:rFonts w:ascii="仿宋" w:hAnsi="仿宋" w:eastAsia="仿宋" w:cs="仿宋"/>
          <w:color w:val="auto"/>
          <w:sz w:val="24"/>
          <w:szCs w:val="28"/>
        </w:rPr>
        <w:t>3.</w:t>
      </w:r>
      <w:r>
        <w:rPr>
          <w:rFonts w:hint="eastAsia" w:ascii="仿宋" w:hAnsi="仿宋" w:eastAsia="仿宋" w:cs="仿宋"/>
          <w:color w:val="auto"/>
          <w:sz w:val="24"/>
          <w:szCs w:val="28"/>
        </w:rPr>
        <w:t>本方案由学院职称工作领导小组办公室负责解释。</w:t>
      </w:r>
    </w:p>
    <w:p w14:paraId="29353017">
      <w:pPr>
        <w:keepNext w:val="0"/>
        <w:keepLines w:val="0"/>
        <w:pageBreakBefore w:val="0"/>
        <w:widowControl w:val="0"/>
        <w:kinsoku/>
        <w:wordWrap/>
        <w:overflowPunct/>
        <w:topLinePunct w:val="0"/>
        <w:bidi w:val="0"/>
        <w:adjustRightInd/>
        <w:snapToGrid/>
        <w:rPr>
          <w:rFonts w:ascii="仿宋" w:hAnsi="仿宋" w:eastAsia="仿宋" w:cs="仿宋"/>
          <w:color w:val="auto"/>
          <w:sz w:val="24"/>
          <w:szCs w:val="28"/>
        </w:rPr>
      </w:pPr>
      <w:r>
        <w:rPr>
          <w:rFonts w:hint="eastAsia" w:ascii="仿宋" w:hAnsi="仿宋" w:eastAsia="仿宋" w:cs="仿宋"/>
          <w:color w:val="auto"/>
          <w:sz w:val="24"/>
          <w:szCs w:val="28"/>
        </w:rPr>
        <w:br w:type="page"/>
      </w:r>
    </w:p>
    <w:p w14:paraId="69713BB5">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仿宋" w:hAnsi="仿宋" w:eastAsia="仿宋" w:cs="仿宋"/>
          <w:color w:val="auto"/>
          <w:sz w:val="24"/>
          <w:szCs w:val="28"/>
        </w:rPr>
      </w:pPr>
      <w:r>
        <w:rPr>
          <w:rFonts w:hint="eastAsia" w:ascii="黑体" w:hAnsi="黑体" w:eastAsia="黑体" w:cs="黑体"/>
          <w:color w:val="auto"/>
          <w:sz w:val="24"/>
          <w:szCs w:val="28"/>
        </w:rPr>
        <w:t>附录1</w:t>
      </w:r>
    </w:p>
    <w:tbl>
      <w:tblPr>
        <w:tblStyle w:val="4"/>
        <w:tblW w:w="10232" w:type="dxa"/>
        <w:jc w:val="center"/>
        <w:tblLayout w:type="fixed"/>
        <w:tblCellMar>
          <w:top w:w="0" w:type="dxa"/>
          <w:left w:w="108" w:type="dxa"/>
          <w:bottom w:w="0" w:type="dxa"/>
          <w:right w:w="108" w:type="dxa"/>
        </w:tblCellMar>
      </w:tblPr>
      <w:tblGrid>
        <w:gridCol w:w="1412"/>
        <w:gridCol w:w="530"/>
        <w:gridCol w:w="2100"/>
        <w:gridCol w:w="2250"/>
        <w:gridCol w:w="2030"/>
        <w:gridCol w:w="1910"/>
      </w:tblGrid>
      <w:tr w14:paraId="5F6803D5">
        <w:tblPrEx>
          <w:tblCellMar>
            <w:top w:w="0" w:type="dxa"/>
            <w:left w:w="108" w:type="dxa"/>
            <w:bottom w:w="0" w:type="dxa"/>
            <w:right w:w="108" w:type="dxa"/>
          </w:tblCellMar>
        </w:tblPrEx>
        <w:trPr>
          <w:trHeight w:val="735" w:hRule="atLeast"/>
          <w:jc w:val="center"/>
        </w:trPr>
        <w:tc>
          <w:tcPr>
            <w:tcW w:w="10232" w:type="dxa"/>
            <w:gridSpan w:val="6"/>
            <w:tcBorders>
              <w:top w:val="nil"/>
              <w:left w:val="nil"/>
              <w:bottom w:val="nil"/>
              <w:right w:val="nil"/>
            </w:tcBorders>
            <w:noWrap/>
            <w:vAlign w:val="center"/>
          </w:tcPr>
          <w:p w14:paraId="7A2D2DC0">
            <w:pPr>
              <w:keepNext w:val="0"/>
              <w:keepLines w:val="0"/>
              <w:pageBreakBefore w:val="0"/>
              <w:widowControl w:val="0"/>
              <w:kinsoku/>
              <w:wordWrap/>
              <w:overflowPunct/>
              <w:topLinePunct w:val="0"/>
              <w:bidi w:val="0"/>
              <w:adjustRightInd/>
              <w:snapToGrid/>
              <w:jc w:val="center"/>
              <w:textAlignment w:val="center"/>
              <w:rPr>
                <w:b/>
                <w:bCs/>
                <w:color w:val="auto"/>
                <w:sz w:val="32"/>
                <w:szCs w:val="32"/>
              </w:rPr>
            </w:pPr>
            <w:r>
              <w:rPr>
                <w:rFonts w:hint="eastAsia" w:ascii="方正小标宋简体" w:hAnsi="方正小标宋简体" w:eastAsia="方正小标宋简体" w:cs="方正小标宋简体"/>
                <w:color w:val="auto"/>
                <w:sz w:val="32"/>
                <w:szCs w:val="32"/>
                <w:lang w:bidi="ar"/>
              </w:rPr>
              <w:t>荣誉称号目录</w:t>
            </w:r>
          </w:p>
        </w:tc>
      </w:tr>
      <w:tr w14:paraId="33094F26">
        <w:tblPrEx>
          <w:tblCellMar>
            <w:top w:w="0" w:type="dxa"/>
            <w:left w:w="108" w:type="dxa"/>
            <w:bottom w:w="0" w:type="dxa"/>
            <w:right w:w="108" w:type="dxa"/>
          </w:tblCellMar>
        </w:tblPrEx>
        <w:trPr>
          <w:trHeight w:val="442"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2BDC75C9">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类别</w:t>
            </w:r>
          </w:p>
        </w:tc>
        <w:tc>
          <w:tcPr>
            <w:tcW w:w="530" w:type="dxa"/>
            <w:vMerge w:val="restart"/>
            <w:tcBorders>
              <w:top w:val="single" w:color="000000" w:sz="4" w:space="0"/>
              <w:left w:val="single" w:color="000000" w:sz="4" w:space="0"/>
              <w:bottom w:val="single" w:color="000000" w:sz="4" w:space="0"/>
              <w:right w:val="single" w:color="000000" w:sz="4" w:space="0"/>
            </w:tcBorders>
            <w:vAlign w:val="center"/>
          </w:tcPr>
          <w:p w14:paraId="63BF6856">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序号</w:t>
            </w:r>
          </w:p>
        </w:tc>
        <w:tc>
          <w:tcPr>
            <w:tcW w:w="8290" w:type="dxa"/>
            <w:gridSpan w:val="4"/>
            <w:tcBorders>
              <w:top w:val="single" w:color="000000" w:sz="4" w:space="0"/>
              <w:left w:val="single" w:color="000000" w:sz="4" w:space="0"/>
              <w:bottom w:val="single" w:color="000000" w:sz="4" w:space="0"/>
              <w:right w:val="single" w:color="000000" w:sz="4" w:space="0"/>
            </w:tcBorders>
            <w:vAlign w:val="center"/>
          </w:tcPr>
          <w:p w14:paraId="1F2E464B">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称号名称</w:t>
            </w:r>
          </w:p>
        </w:tc>
      </w:tr>
      <w:tr w14:paraId="0DFB547E">
        <w:tblPrEx>
          <w:tblCellMar>
            <w:top w:w="0" w:type="dxa"/>
            <w:left w:w="108" w:type="dxa"/>
            <w:bottom w:w="0" w:type="dxa"/>
            <w:right w:w="108" w:type="dxa"/>
          </w:tblCellMar>
        </w:tblPrEx>
        <w:trPr>
          <w:trHeight w:val="400"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55E0AD3B">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530" w:type="dxa"/>
            <w:vMerge w:val="continue"/>
            <w:tcBorders>
              <w:top w:val="single" w:color="000000" w:sz="4" w:space="0"/>
              <w:left w:val="single" w:color="000000" w:sz="4" w:space="0"/>
              <w:bottom w:val="single" w:color="000000" w:sz="4" w:space="0"/>
              <w:right w:val="single" w:color="000000" w:sz="4" w:space="0"/>
            </w:tcBorders>
            <w:vAlign w:val="center"/>
          </w:tcPr>
          <w:p w14:paraId="4825E439">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2100" w:type="dxa"/>
            <w:tcBorders>
              <w:top w:val="single" w:color="000000" w:sz="4" w:space="0"/>
              <w:left w:val="single" w:color="000000" w:sz="4" w:space="0"/>
              <w:bottom w:val="single" w:color="000000" w:sz="4" w:space="0"/>
              <w:right w:val="single" w:color="000000" w:sz="4" w:space="0"/>
            </w:tcBorders>
            <w:vAlign w:val="center"/>
          </w:tcPr>
          <w:p w14:paraId="5D5DD51C">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国家级</w:t>
            </w:r>
          </w:p>
        </w:tc>
        <w:tc>
          <w:tcPr>
            <w:tcW w:w="2250" w:type="dxa"/>
            <w:tcBorders>
              <w:top w:val="single" w:color="000000" w:sz="4" w:space="0"/>
              <w:left w:val="single" w:color="000000" w:sz="4" w:space="0"/>
              <w:bottom w:val="single" w:color="000000" w:sz="4" w:space="0"/>
              <w:right w:val="single" w:color="000000" w:sz="4" w:space="0"/>
            </w:tcBorders>
            <w:vAlign w:val="center"/>
          </w:tcPr>
          <w:p w14:paraId="7E41AD22">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省部级</w:t>
            </w:r>
          </w:p>
        </w:tc>
        <w:tc>
          <w:tcPr>
            <w:tcW w:w="2030" w:type="dxa"/>
            <w:tcBorders>
              <w:top w:val="single" w:color="000000" w:sz="4" w:space="0"/>
              <w:left w:val="single" w:color="000000" w:sz="4" w:space="0"/>
              <w:bottom w:val="single" w:color="000000" w:sz="4" w:space="0"/>
              <w:right w:val="single" w:color="000000" w:sz="4" w:space="0"/>
            </w:tcBorders>
            <w:vAlign w:val="center"/>
          </w:tcPr>
          <w:p w14:paraId="2E76C358">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市厅级</w:t>
            </w:r>
          </w:p>
        </w:tc>
        <w:tc>
          <w:tcPr>
            <w:tcW w:w="1910" w:type="dxa"/>
            <w:tcBorders>
              <w:top w:val="single" w:color="000000" w:sz="4" w:space="0"/>
              <w:left w:val="single" w:color="000000" w:sz="4" w:space="0"/>
              <w:bottom w:val="single" w:color="000000" w:sz="4" w:space="0"/>
              <w:right w:val="single" w:color="000000" w:sz="4" w:space="0"/>
            </w:tcBorders>
            <w:vAlign w:val="center"/>
          </w:tcPr>
          <w:p w14:paraId="561969BB">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院级</w:t>
            </w:r>
          </w:p>
        </w:tc>
      </w:tr>
      <w:tr w14:paraId="0F5BA21C">
        <w:tblPrEx>
          <w:tblCellMar>
            <w:top w:w="0" w:type="dxa"/>
            <w:left w:w="108" w:type="dxa"/>
            <w:bottom w:w="0" w:type="dxa"/>
            <w:right w:w="108" w:type="dxa"/>
          </w:tblCellMar>
        </w:tblPrEx>
        <w:trPr>
          <w:trHeight w:val="512" w:hRule="atLeast"/>
          <w:jc w:val="center"/>
        </w:trPr>
        <w:tc>
          <w:tcPr>
            <w:tcW w:w="1412" w:type="dxa"/>
            <w:vMerge w:val="restart"/>
            <w:tcBorders>
              <w:top w:val="single" w:color="000000" w:sz="4" w:space="0"/>
              <w:left w:val="single" w:color="000000" w:sz="4" w:space="0"/>
              <w:right w:val="single" w:color="000000" w:sz="4" w:space="0"/>
            </w:tcBorders>
            <w:vAlign w:val="center"/>
          </w:tcPr>
          <w:p w14:paraId="4D60C07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综合类</w:t>
            </w:r>
          </w:p>
        </w:tc>
        <w:tc>
          <w:tcPr>
            <w:tcW w:w="530" w:type="dxa"/>
            <w:tcBorders>
              <w:top w:val="single" w:color="000000" w:sz="4" w:space="0"/>
              <w:left w:val="single" w:color="000000" w:sz="4" w:space="0"/>
              <w:bottom w:val="single" w:color="000000" w:sz="4" w:space="0"/>
              <w:right w:val="single" w:color="000000" w:sz="4" w:space="0"/>
            </w:tcBorders>
            <w:vAlign w:val="center"/>
          </w:tcPr>
          <w:p w14:paraId="1B3C78B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6F2572D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全国劳动模范</w:t>
            </w:r>
          </w:p>
        </w:tc>
        <w:tc>
          <w:tcPr>
            <w:tcW w:w="2250" w:type="dxa"/>
            <w:tcBorders>
              <w:top w:val="single" w:color="000000" w:sz="4" w:space="0"/>
              <w:left w:val="single" w:color="000000" w:sz="4" w:space="0"/>
              <w:bottom w:val="single" w:color="000000" w:sz="4" w:space="0"/>
              <w:right w:val="single" w:color="000000" w:sz="4" w:space="0"/>
            </w:tcBorders>
            <w:vAlign w:val="center"/>
          </w:tcPr>
          <w:p w14:paraId="3F72B33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河北省劳动模范</w:t>
            </w:r>
          </w:p>
        </w:tc>
        <w:tc>
          <w:tcPr>
            <w:tcW w:w="2030" w:type="dxa"/>
            <w:tcBorders>
              <w:top w:val="single" w:color="000000" w:sz="4" w:space="0"/>
              <w:left w:val="single" w:color="000000" w:sz="4" w:space="0"/>
              <w:bottom w:val="single" w:color="000000" w:sz="4" w:space="0"/>
              <w:right w:val="single" w:color="000000" w:sz="4" w:space="0"/>
            </w:tcBorders>
            <w:vAlign w:val="center"/>
          </w:tcPr>
          <w:p w14:paraId="4CC7211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秦皇岛市劳动模范</w:t>
            </w:r>
          </w:p>
        </w:tc>
        <w:tc>
          <w:tcPr>
            <w:tcW w:w="1910" w:type="dxa"/>
            <w:tcBorders>
              <w:top w:val="single" w:color="000000" w:sz="4" w:space="0"/>
              <w:left w:val="single" w:color="000000" w:sz="4" w:space="0"/>
              <w:bottom w:val="single" w:color="000000" w:sz="4" w:space="0"/>
              <w:right w:val="single" w:color="000000" w:sz="4" w:space="0"/>
            </w:tcBorders>
            <w:vAlign w:val="center"/>
          </w:tcPr>
          <w:p w14:paraId="4D03152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r w14:paraId="00C8B42C">
        <w:tblPrEx>
          <w:tblCellMar>
            <w:top w:w="0" w:type="dxa"/>
            <w:left w:w="108" w:type="dxa"/>
            <w:bottom w:w="0" w:type="dxa"/>
            <w:right w:w="108" w:type="dxa"/>
          </w:tblCellMar>
        </w:tblPrEx>
        <w:trPr>
          <w:trHeight w:val="1048" w:hRule="atLeast"/>
          <w:jc w:val="center"/>
        </w:trPr>
        <w:tc>
          <w:tcPr>
            <w:tcW w:w="1412" w:type="dxa"/>
            <w:vMerge w:val="continue"/>
            <w:tcBorders>
              <w:left w:val="single" w:color="000000" w:sz="4" w:space="0"/>
              <w:right w:val="single" w:color="000000" w:sz="4" w:space="0"/>
            </w:tcBorders>
            <w:vAlign w:val="center"/>
          </w:tcPr>
          <w:p w14:paraId="0EDC65C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31FC252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2</w:t>
            </w:r>
          </w:p>
        </w:tc>
        <w:tc>
          <w:tcPr>
            <w:tcW w:w="2100" w:type="dxa"/>
            <w:tcBorders>
              <w:top w:val="single" w:color="000000" w:sz="4" w:space="0"/>
              <w:left w:val="single" w:color="000000" w:sz="4" w:space="0"/>
              <w:bottom w:val="single" w:color="000000" w:sz="4" w:space="0"/>
              <w:right w:val="single" w:color="000000" w:sz="4" w:space="0"/>
            </w:tcBorders>
            <w:vAlign w:val="center"/>
          </w:tcPr>
          <w:p w14:paraId="383F119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全国优秀（模范）教师、优秀教育工作者</w:t>
            </w:r>
          </w:p>
        </w:tc>
        <w:tc>
          <w:tcPr>
            <w:tcW w:w="2250" w:type="dxa"/>
            <w:tcBorders>
              <w:top w:val="single" w:color="000000" w:sz="4" w:space="0"/>
              <w:left w:val="single" w:color="000000" w:sz="4" w:space="0"/>
              <w:bottom w:val="single" w:color="000000" w:sz="4" w:space="0"/>
              <w:right w:val="single" w:color="000000" w:sz="4" w:space="0"/>
            </w:tcBorders>
            <w:vAlign w:val="center"/>
          </w:tcPr>
          <w:p w14:paraId="03BA722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河北省优秀（模范）教师、优秀教育工作者</w:t>
            </w:r>
          </w:p>
        </w:tc>
        <w:tc>
          <w:tcPr>
            <w:tcW w:w="2030" w:type="dxa"/>
            <w:tcBorders>
              <w:top w:val="single" w:color="000000" w:sz="4" w:space="0"/>
              <w:left w:val="single" w:color="000000" w:sz="4" w:space="0"/>
              <w:bottom w:val="single" w:color="000000" w:sz="4" w:space="0"/>
              <w:right w:val="single" w:color="000000" w:sz="4" w:space="0"/>
            </w:tcBorders>
            <w:vAlign w:val="center"/>
          </w:tcPr>
          <w:p w14:paraId="30FCAA2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秦皇岛市优秀（模范）教师、优秀教育工作者</w:t>
            </w:r>
          </w:p>
        </w:tc>
        <w:tc>
          <w:tcPr>
            <w:tcW w:w="1910" w:type="dxa"/>
            <w:tcBorders>
              <w:top w:val="single" w:color="000000" w:sz="4" w:space="0"/>
              <w:left w:val="single" w:color="000000" w:sz="4" w:space="0"/>
              <w:bottom w:val="single" w:color="000000" w:sz="4" w:space="0"/>
              <w:right w:val="single" w:color="000000" w:sz="4" w:space="0"/>
            </w:tcBorders>
            <w:vAlign w:val="center"/>
          </w:tcPr>
          <w:p w14:paraId="10EE804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学院优秀（模范）教师、优秀教育工作者</w:t>
            </w:r>
          </w:p>
        </w:tc>
      </w:tr>
      <w:tr w14:paraId="44005C0A">
        <w:tblPrEx>
          <w:tblCellMar>
            <w:top w:w="0" w:type="dxa"/>
            <w:left w:w="108" w:type="dxa"/>
            <w:bottom w:w="0" w:type="dxa"/>
            <w:right w:w="108" w:type="dxa"/>
          </w:tblCellMar>
        </w:tblPrEx>
        <w:trPr>
          <w:trHeight w:val="735" w:hRule="atLeast"/>
          <w:jc w:val="center"/>
        </w:trPr>
        <w:tc>
          <w:tcPr>
            <w:tcW w:w="1412" w:type="dxa"/>
            <w:vMerge w:val="continue"/>
            <w:tcBorders>
              <w:left w:val="single" w:color="000000" w:sz="4" w:space="0"/>
              <w:bottom w:val="single" w:color="000000" w:sz="4" w:space="0"/>
              <w:right w:val="single" w:color="000000" w:sz="4" w:space="0"/>
            </w:tcBorders>
            <w:vAlign w:val="center"/>
          </w:tcPr>
          <w:p w14:paraId="246BC50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4027E06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3</w:t>
            </w:r>
          </w:p>
        </w:tc>
        <w:tc>
          <w:tcPr>
            <w:tcW w:w="2100" w:type="dxa"/>
            <w:tcBorders>
              <w:top w:val="single" w:color="000000" w:sz="4" w:space="0"/>
              <w:left w:val="single" w:color="000000" w:sz="4" w:space="0"/>
              <w:bottom w:val="single" w:color="000000" w:sz="4" w:space="0"/>
              <w:right w:val="single" w:color="000000" w:sz="4" w:space="0"/>
            </w:tcBorders>
            <w:vAlign w:val="center"/>
          </w:tcPr>
          <w:p w14:paraId="486BB05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国家级师德标兵</w:t>
            </w:r>
          </w:p>
        </w:tc>
        <w:tc>
          <w:tcPr>
            <w:tcW w:w="2250" w:type="dxa"/>
            <w:tcBorders>
              <w:top w:val="single" w:color="000000" w:sz="4" w:space="0"/>
              <w:left w:val="single" w:color="000000" w:sz="4" w:space="0"/>
              <w:bottom w:val="single" w:color="000000" w:sz="4" w:space="0"/>
              <w:right w:val="single" w:color="000000" w:sz="4" w:space="0"/>
            </w:tcBorders>
            <w:vAlign w:val="center"/>
          </w:tcPr>
          <w:p w14:paraId="2EFDF33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河北省师德标兵</w:t>
            </w:r>
          </w:p>
        </w:tc>
        <w:tc>
          <w:tcPr>
            <w:tcW w:w="2030" w:type="dxa"/>
            <w:tcBorders>
              <w:top w:val="single" w:color="000000" w:sz="4" w:space="0"/>
              <w:left w:val="single" w:color="000000" w:sz="4" w:space="0"/>
              <w:bottom w:val="single" w:color="000000" w:sz="4" w:space="0"/>
              <w:right w:val="single" w:color="000000" w:sz="4" w:space="0"/>
            </w:tcBorders>
            <w:vAlign w:val="center"/>
          </w:tcPr>
          <w:p w14:paraId="063FACE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秦皇岛市师德标兵</w:t>
            </w:r>
          </w:p>
        </w:tc>
        <w:tc>
          <w:tcPr>
            <w:tcW w:w="1910" w:type="dxa"/>
            <w:tcBorders>
              <w:top w:val="single" w:color="000000" w:sz="4" w:space="0"/>
              <w:left w:val="single" w:color="000000" w:sz="4" w:space="0"/>
              <w:bottom w:val="single" w:color="000000" w:sz="4" w:space="0"/>
              <w:right w:val="single" w:color="000000" w:sz="4" w:space="0"/>
            </w:tcBorders>
            <w:vAlign w:val="center"/>
          </w:tcPr>
          <w:p w14:paraId="6B598A6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学院师德标兵（师德先进个人）</w:t>
            </w:r>
          </w:p>
        </w:tc>
      </w:tr>
      <w:tr w14:paraId="6EF136E8">
        <w:tblPrEx>
          <w:tblCellMar>
            <w:top w:w="0" w:type="dxa"/>
            <w:left w:w="108" w:type="dxa"/>
            <w:bottom w:w="0" w:type="dxa"/>
            <w:right w:w="108" w:type="dxa"/>
          </w:tblCellMar>
        </w:tblPrEx>
        <w:trPr>
          <w:trHeight w:val="474" w:hRule="atLeast"/>
          <w:jc w:val="center"/>
        </w:trPr>
        <w:tc>
          <w:tcPr>
            <w:tcW w:w="1412" w:type="dxa"/>
            <w:vMerge w:val="restart"/>
            <w:tcBorders>
              <w:top w:val="single" w:color="000000" w:sz="4" w:space="0"/>
              <w:left w:val="single" w:color="000000" w:sz="4" w:space="0"/>
              <w:right w:val="single" w:color="000000" w:sz="4" w:space="0"/>
            </w:tcBorders>
            <w:vAlign w:val="center"/>
          </w:tcPr>
          <w:p w14:paraId="42B3520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教育教学类</w:t>
            </w:r>
          </w:p>
        </w:tc>
        <w:tc>
          <w:tcPr>
            <w:tcW w:w="530" w:type="dxa"/>
            <w:tcBorders>
              <w:top w:val="single" w:color="000000" w:sz="4" w:space="0"/>
              <w:left w:val="single" w:color="000000" w:sz="4" w:space="0"/>
              <w:bottom w:val="single" w:color="000000" w:sz="4" w:space="0"/>
              <w:right w:val="single" w:color="000000" w:sz="4" w:space="0"/>
            </w:tcBorders>
            <w:vAlign w:val="center"/>
          </w:tcPr>
          <w:p w14:paraId="4A5B399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4</w:t>
            </w:r>
          </w:p>
        </w:tc>
        <w:tc>
          <w:tcPr>
            <w:tcW w:w="2100" w:type="dxa"/>
            <w:tcBorders>
              <w:top w:val="single" w:color="000000" w:sz="4" w:space="0"/>
              <w:left w:val="single" w:color="000000" w:sz="4" w:space="0"/>
              <w:bottom w:val="single" w:color="000000" w:sz="4" w:space="0"/>
              <w:right w:val="single" w:color="000000" w:sz="4" w:space="0"/>
            </w:tcBorders>
            <w:vAlign w:val="center"/>
          </w:tcPr>
          <w:p w14:paraId="662A4FE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全国教书育人楷模</w:t>
            </w:r>
          </w:p>
        </w:tc>
        <w:tc>
          <w:tcPr>
            <w:tcW w:w="2250" w:type="dxa"/>
            <w:tcBorders>
              <w:top w:val="single" w:color="000000" w:sz="4" w:space="0"/>
              <w:left w:val="single" w:color="000000" w:sz="4" w:space="0"/>
              <w:bottom w:val="single" w:color="000000" w:sz="4" w:space="0"/>
              <w:right w:val="single" w:color="000000" w:sz="4" w:space="0"/>
            </w:tcBorders>
            <w:vAlign w:val="center"/>
          </w:tcPr>
          <w:p w14:paraId="310E28B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河北省教书育人楷模</w:t>
            </w:r>
          </w:p>
        </w:tc>
        <w:tc>
          <w:tcPr>
            <w:tcW w:w="2030" w:type="dxa"/>
            <w:tcBorders>
              <w:top w:val="single" w:color="000000" w:sz="4" w:space="0"/>
              <w:left w:val="single" w:color="000000" w:sz="4" w:space="0"/>
              <w:bottom w:val="single" w:color="000000" w:sz="4" w:space="0"/>
              <w:right w:val="single" w:color="000000" w:sz="4" w:space="0"/>
            </w:tcBorders>
            <w:vAlign w:val="center"/>
          </w:tcPr>
          <w:p w14:paraId="250A86F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11BDCDC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学院教书育人楷模</w:t>
            </w:r>
          </w:p>
        </w:tc>
      </w:tr>
      <w:tr w14:paraId="14A5B513">
        <w:tblPrEx>
          <w:tblCellMar>
            <w:top w:w="0" w:type="dxa"/>
            <w:left w:w="108" w:type="dxa"/>
            <w:bottom w:w="0" w:type="dxa"/>
            <w:right w:w="108" w:type="dxa"/>
          </w:tblCellMar>
        </w:tblPrEx>
        <w:trPr>
          <w:trHeight w:val="624" w:hRule="atLeast"/>
          <w:jc w:val="center"/>
        </w:trPr>
        <w:tc>
          <w:tcPr>
            <w:tcW w:w="1412" w:type="dxa"/>
            <w:vMerge w:val="continue"/>
            <w:tcBorders>
              <w:left w:val="single" w:color="000000" w:sz="4" w:space="0"/>
              <w:right w:val="single" w:color="000000" w:sz="4" w:space="0"/>
            </w:tcBorders>
            <w:vAlign w:val="center"/>
          </w:tcPr>
          <w:p w14:paraId="1E453FE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E0C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5</w:t>
            </w:r>
          </w:p>
        </w:tc>
        <w:tc>
          <w:tcPr>
            <w:tcW w:w="2100" w:type="dxa"/>
            <w:tcBorders>
              <w:top w:val="single" w:color="000000" w:sz="4" w:space="0"/>
              <w:left w:val="single" w:color="000000" w:sz="4" w:space="0"/>
              <w:bottom w:val="single" w:color="000000" w:sz="4" w:space="0"/>
              <w:right w:val="single" w:color="000000" w:sz="4" w:space="0"/>
            </w:tcBorders>
            <w:vAlign w:val="center"/>
          </w:tcPr>
          <w:p w14:paraId="37928E4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rPr>
              <w:t>国家高层次人才特殊支持计划(万人计划)入选人员</w:t>
            </w:r>
          </w:p>
        </w:tc>
        <w:tc>
          <w:tcPr>
            <w:tcW w:w="2250" w:type="dxa"/>
            <w:tcBorders>
              <w:top w:val="single" w:color="000000" w:sz="4" w:space="0"/>
              <w:left w:val="single" w:color="000000" w:sz="4" w:space="0"/>
              <w:bottom w:val="single" w:color="000000" w:sz="4" w:space="0"/>
              <w:right w:val="single" w:color="000000" w:sz="4" w:space="0"/>
            </w:tcBorders>
            <w:vAlign w:val="center"/>
          </w:tcPr>
          <w:p w14:paraId="71A89A8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2030" w:type="dxa"/>
            <w:tcBorders>
              <w:top w:val="single" w:color="000000" w:sz="4" w:space="0"/>
              <w:left w:val="single" w:color="000000" w:sz="4" w:space="0"/>
              <w:bottom w:val="single" w:color="000000" w:sz="4" w:space="0"/>
              <w:right w:val="single" w:color="000000" w:sz="4" w:space="0"/>
            </w:tcBorders>
            <w:vAlign w:val="center"/>
          </w:tcPr>
          <w:p w14:paraId="0B1EC36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6890629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r w14:paraId="6EC33277">
        <w:tblPrEx>
          <w:tblCellMar>
            <w:top w:w="0" w:type="dxa"/>
            <w:left w:w="108" w:type="dxa"/>
            <w:bottom w:w="0" w:type="dxa"/>
            <w:right w:w="108" w:type="dxa"/>
          </w:tblCellMar>
        </w:tblPrEx>
        <w:trPr>
          <w:trHeight w:val="624" w:hRule="atLeast"/>
          <w:jc w:val="center"/>
        </w:trPr>
        <w:tc>
          <w:tcPr>
            <w:tcW w:w="1412" w:type="dxa"/>
            <w:vMerge w:val="continue"/>
            <w:tcBorders>
              <w:left w:val="single" w:color="000000" w:sz="4" w:space="0"/>
              <w:right w:val="single" w:color="000000" w:sz="4" w:space="0"/>
            </w:tcBorders>
            <w:vAlign w:val="center"/>
          </w:tcPr>
          <w:p w14:paraId="7BDCE7A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94C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6</w:t>
            </w:r>
          </w:p>
        </w:tc>
        <w:tc>
          <w:tcPr>
            <w:tcW w:w="2100" w:type="dxa"/>
            <w:tcBorders>
              <w:top w:val="single" w:color="000000" w:sz="4" w:space="0"/>
              <w:left w:val="single" w:color="000000" w:sz="4" w:space="0"/>
              <w:bottom w:val="single" w:color="000000" w:sz="4" w:space="0"/>
              <w:right w:val="single" w:color="000000" w:sz="4" w:space="0"/>
            </w:tcBorders>
            <w:vAlign w:val="center"/>
          </w:tcPr>
          <w:p w14:paraId="1EE16A4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黄炎培职业教育杰出教师</w:t>
            </w:r>
          </w:p>
        </w:tc>
        <w:tc>
          <w:tcPr>
            <w:tcW w:w="2250" w:type="dxa"/>
            <w:tcBorders>
              <w:top w:val="single" w:color="000000" w:sz="4" w:space="0"/>
              <w:left w:val="single" w:color="000000" w:sz="4" w:space="0"/>
              <w:bottom w:val="single" w:color="000000" w:sz="4" w:space="0"/>
              <w:right w:val="single" w:color="000000" w:sz="4" w:space="0"/>
            </w:tcBorders>
            <w:vAlign w:val="center"/>
          </w:tcPr>
          <w:p w14:paraId="24F4C1F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2030" w:type="dxa"/>
            <w:tcBorders>
              <w:top w:val="single" w:color="000000" w:sz="4" w:space="0"/>
              <w:left w:val="single" w:color="000000" w:sz="4" w:space="0"/>
              <w:bottom w:val="single" w:color="000000" w:sz="4" w:space="0"/>
              <w:right w:val="single" w:color="000000" w:sz="4" w:space="0"/>
            </w:tcBorders>
            <w:vAlign w:val="center"/>
          </w:tcPr>
          <w:p w14:paraId="020D9C1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41FBF12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r w14:paraId="66B03CEB">
        <w:tblPrEx>
          <w:tblCellMar>
            <w:top w:w="0" w:type="dxa"/>
            <w:left w:w="108" w:type="dxa"/>
            <w:bottom w:w="0" w:type="dxa"/>
            <w:right w:w="108" w:type="dxa"/>
          </w:tblCellMar>
        </w:tblPrEx>
        <w:trPr>
          <w:trHeight w:val="776" w:hRule="atLeast"/>
          <w:jc w:val="center"/>
        </w:trPr>
        <w:tc>
          <w:tcPr>
            <w:tcW w:w="1412" w:type="dxa"/>
            <w:vMerge w:val="continue"/>
            <w:tcBorders>
              <w:left w:val="single" w:color="000000" w:sz="4" w:space="0"/>
              <w:right w:val="single" w:color="000000" w:sz="4" w:space="0"/>
            </w:tcBorders>
            <w:vAlign w:val="center"/>
          </w:tcPr>
          <w:p w14:paraId="4E484E3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9B9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7</w:t>
            </w:r>
          </w:p>
        </w:tc>
        <w:tc>
          <w:tcPr>
            <w:tcW w:w="2100" w:type="dxa"/>
            <w:tcBorders>
              <w:top w:val="single" w:color="000000" w:sz="4" w:space="0"/>
              <w:left w:val="single" w:color="000000" w:sz="4" w:space="0"/>
              <w:bottom w:val="single" w:color="000000" w:sz="4" w:space="0"/>
              <w:right w:val="single" w:color="000000" w:sz="4" w:space="0"/>
            </w:tcBorders>
            <w:vAlign w:val="center"/>
          </w:tcPr>
          <w:p w14:paraId="56DD9ED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河北省“三三三人才工程”一层次人选</w:t>
            </w:r>
          </w:p>
        </w:tc>
        <w:tc>
          <w:tcPr>
            <w:tcW w:w="2250" w:type="dxa"/>
            <w:tcBorders>
              <w:top w:val="single" w:color="000000" w:sz="4" w:space="0"/>
              <w:left w:val="single" w:color="000000" w:sz="4" w:space="0"/>
              <w:bottom w:val="single" w:color="000000" w:sz="4" w:space="0"/>
              <w:right w:val="single" w:color="000000" w:sz="4" w:space="0"/>
            </w:tcBorders>
            <w:vAlign w:val="center"/>
          </w:tcPr>
          <w:p w14:paraId="6772558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河北省“三三三人才工程”二层次人选</w:t>
            </w:r>
          </w:p>
        </w:tc>
        <w:tc>
          <w:tcPr>
            <w:tcW w:w="2030" w:type="dxa"/>
            <w:tcBorders>
              <w:top w:val="single" w:color="000000" w:sz="4" w:space="0"/>
              <w:left w:val="single" w:color="000000" w:sz="4" w:space="0"/>
              <w:bottom w:val="single" w:color="000000" w:sz="4" w:space="0"/>
              <w:right w:val="single" w:color="000000" w:sz="4" w:space="0"/>
            </w:tcBorders>
            <w:vAlign w:val="center"/>
          </w:tcPr>
          <w:p w14:paraId="14EE93B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rPr>
              <w:t>河北省“三三三人才工程”三层次人选</w:t>
            </w:r>
          </w:p>
        </w:tc>
        <w:tc>
          <w:tcPr>
            <w:tcW w:w="1910" w:type="dxa"/>
            <w:tcBorders>
              <w:top w:val="single" w:color="000000" w:sz="4" w:space="0"/>
              <w:left w:val="single" w:color="000000" w:sz="4" w:space="0"/>
              <w:bottom w:val="single" w:color="000000" w:sz="4" w:space="0"/>
              <w:right w:val="single" w:color="000000" w:sz="4" w:space="0"/>
            </w:tcBorders>
            <w:vAlign w:val="center"/>
          </w:tcPr>
          <w:p w14:paraId="12DF9C2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r>
      <w:tr w14:paraId="0278153F">
        <w:tblPrEx>
          <w:tblCellMar>
            <w:top w:w="0" w:type="dxa"/>
            <w:left w:w="108" w:type="dxa"/>
            <w:bottom w:w="0" w:type="dxa"/>
            <w:right w:w="108" w:type="dxa"/>
          </w:tblCellMar>
        </w:tblPrEx>
        <w:trPr>
          <w:trHeight w:val="756" w:hRule="atLeast"/>
          <w:jc w:val="center"/>
        </w:trPr>
        <w:tc>
          <w:tcPr>
            <w:tcW w:w="1412" w:type="dxa"/>
            <w:vMerge w:val="continue"/>
            <w:tcBorders>
              <w:left w:val="single" w:color="000000" w:sz="4" w:space="0"/>
              <w:right w:val="single" w:color="000000" w:sz="4" w:space="0"/>
            </w:tcBorders>
            <w:vAlign w:val="center"/>
          </w:tcPr>
          <w:p w14:paraId="37B0E55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4E3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7C1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国家级教学名师（名匠）</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5F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河北省教学名师（名匠）</w:t>
            </w:r>
          </w:p>
        </w:tc>
        <w:tc>
          <w:tcPr>
            <w:tcW w:w="2030" w:type="dxa"/>
            <w:tcBorders>
              <w:top w:val="single" w:color="000000" w:sz="4" w:space="0"/>
              <w:left w:val="single" w:color="000000" w:sz="4" w:space="0"/>
              <w:bottom w:val="single" w:color="000000" w:sz="4" w:space="0"/>
              <w:right w:val="single" w:color="000000" w:sz="4" w:space="0"/>
            </w:tcBorders>
            <w:vAlign w:val="center"/>
          </w:tcPr>
          <w:p w14:paraId="63EC3E9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08949A5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学院教学名师（名匠）</w:t>
            </w:r>
          </w:p>
        </w:tc>
      </w:tr>
      <w:tr w14:paraId="2639EF5E">
        <w:tblPrEx>
          <w:tblCellMar>
            <w:top w:w="0" w:type="dxa"/>
            <w:left w:w="108" w:type="dxa"/>
            <w:bottom w:w="0" w:type="dxa"/>
            <w:right w:w="108" w:type="dxa"/>
          </w:tblCellMar>
        </w:tblPrEx>
        <w:trPr>
          <w:trHeight w:val="446" w:hRule="atLeast"/>
          <w:jc w:val="center"/>
        </w:trPr>
        <w:tc>
          <w:tcPr>
            <w:tcW w:w="1412" w:type="dxa"/>
            <w:vMerge w:val="continue"/>
            <w:tcBorders>
              <w:left w:val="single" w:color="000000" w:sz="4" w:space="0"/>
              <w:right w:val="single" w:color="000000" w:sz="4" w:space="0"/>
            </w:tcBorders>
            <w:vAlign w:val="center"/>
          </w:tcPr>
          <w:p w14:paraId="2B604CE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B59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062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全国技术能手</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ABA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河北省技术能手</w:t>
            </w:r>
          </w:p>
        </w:tc>
        <w:tc>
          <w:tcPr>
            <w:tcW w:w="2030" w:type="dxa"/>
            <w:tcBorders>
              <w:top w:val="single" w:color="000000" w:sz="4" w:space="0"/>
              <w:left w:val="single" w:color="000000" w:sz="4" w:space="0"/>
              <w:bottom w:val="single" w:color="000000" w:sz="4" w:space="0"/>
              <w:right w:val="single" w:color="000000" w:sz="4" w:space="0"/>
            </w:tcBorders>
            <w:vAlign w:val="center"/>
          </w:tcPr>
          <w:p w14:paraId="6667658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1200CD1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r>
      <w:tr w14:paraId="09F9FBD8">
        <w:tblPrEx>
          <w:tblCellMar>
            <w:top w:w="0" w:type="dxa"/>
            <w:left w:w="108" w:type="dxa"/>
            <w:bottom w:w="0" w:type="dxa"/>
            <w:right w:w="108" w:type="dxa"/>
          </w:tblCellMar>
        </w:tblPrEx>
        <w:trPr>
          <w:trHeight w:val="750" w:hRule="atLeast"/>
          <w:jc w:val="center"/>
        </w:trPr>
        <w:tc>
          <w:tcPr>
            <w:tcW w:w="1412" w:type="dxa"/>
            <w:vMerge w:val="continue"/>
            <w:tcBorders>
              <w:left w:val="single" w:color="000000" w:sz="4" w:space="0"/>
              <w:bottom w:val="single" w:color="000000" w:sz="4" w:space="0"/>
              <w:right w:val="single" w:color="000000" w:sz="4" w:space="0"/>
            </w:tcBorders>
            <w:vAlign w:val="center"/>
          </w:tcPr>
          <w:p w14:paraId="49AB4ED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C3A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10</w:t>
            </w:r>
          </w:p>
        </w:tc>
        <w:tc>
          <w:tcPr>
            <w:tcW w:w="2100" w:type="dxa"/>
            <w:tcBorders>
              <w:top w:val="single" w:color="000000" w:sz="4" w:space="0"/>
              <w:left w:val="single" w:color="000000" w:sz="4" w:space="0"/>
              <w:bottom w:val="single" w:color="000000" w:sz="4" w:space="0"/>
              <w:right w:val="single" w:color="000000" w:sz="4" w:space="0"/>
            </w:tcBorders>
            <w:vAlign w:val="center"/>
          </w:tcPr>
          <w:p w14:paraId="3E5636E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740C850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河北省骨干教师</w:t>
            </w:r>
          </w:p>
        </w:tc>
        <w:tc>
          <w:tcPr>
            <w:tcW w:w="2030" w:type="dxa"/>
            <w:tcBorders>
              <w:top w:val="single" w:color="000000" w:sz="4" w:space="0"/>
              <w:left w:val="single" w:color="000000" w:sz="4" w:space="0"/>
              <w:bottom w:val="single" w:color="000000" w:sz="4" w:space="0"/>
              <w:right w:val="single" w:color="000000" w:sz="4" w:space="0"/>
            </w:tcBorders>
            <w:vAlign w:val="center"/>
          </w:tcPr>
          <w:p w14:paraId="4EA6700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秦皇岛市职业院校（教育）骨干教师</w:t>
            </w:r>
          </w:p>
        </w:tc>
        <w:tc>
          <w:tcPr>
            <w:tcW w:w="1910" w:type="dxa"/>
            <w:tcBorders>
              <w:top w:val="single" w:color="000000" w:sz="4" w:space="0"/>
              <w:left w:val="single" w:color="000000" w:sz="4" w:space="0"/>
              <w:bottom w:val="single" w:color="000000" w:sz="4" w:space="0"/>
              <w:right w:val="single" w:color="000000" w:sz="4" w:space="0"/>
            </w:tcBorders>
            <w:vAlign w:val="center"/>
          </w:tcPr>
          <w:p w14:paraId="3E35E23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1B655549">
        <w:tblPrEx>
          <w:tblCellMar>
            <w:top w:w="0" w:type="dxa"/>
            <w:left w:w="108" w:type="dxa"/>
            <w:bottom w:w="0" w:type="dxa"/>
            <w:right w:w="108" w:type="dxa"/>
          </w:tblCellMar>
        </w:tblPrEx>
        <w:trPr>
          <w:trHeight w:val="1320" w:hRule="atLeast"/>
          <w:jc w:val="center"/>
        </w:trPr>
        <w:tc>
          <w:tcPr>
            <w:tcW w:w="1412" w:type="dxa"/>
            <w:vMerge w:val="restart"/>
            <w:tcBorders>
              <w:top w:val="single" w:color="000000" w:sz="4" w:space="0"/>
              <w:left w:val="single" w:color="000000" w:sz="4" w:space="0"/>
              <w:bottom w:val="single" w:color="000000" w:sz="4" w:space="0"/>
              <w:right w:val="single" w:color="000000" w:sz="4" w:space="0"/>
            </w:tcBorders>
            <w:vAlign w:val="center"/>
          </w:tcPr>
          <w:p w14:paraId="17BC227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党群类</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556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11</w:t>
            </w:r>
          </w:p>
        </w:tc>
        <w:tc>
          <w:tcPr>
            <w:tcW w:w="2100" w:type="dxa"/>
            <w:tcBorders>
              <w:top w:val="single" w:color="000000" w:sz="4" w:space="0"/>
              <w:left w:val="single" w:color="000000" w:sz="4" w:space="0"/>
              <w:bottom w:val="single" w:color="000000" w:sz="4" w:space="0"/>
              <w:right w:val="single" w:color="000000" w:sz="4" w:space="0"/>
            </w:tcBorders>
            <w:vAlign w:val="center"/>
          </w:tcPr>
          <w:p w14:paraId="736E3BF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全国优秀共产党员、优秀党务工作者</w:t>
            </w:r>
          </w:p>
        </w:tc>
        <w:tc>
          <w:tcPr>
            <w:tcW w:w="2250" w:type="dxa"/>
            <w:tcBorders>
              <w:top w:val="single" w:color="000000" w:sz="4" w:space="0"/>
              <w:left w:val="single" w:color="000000" w:sz="4" w:space="0"/>
              <w:bottom w:val="single" w:color="000000" w:sz="4" w:space="0"/>
              <w:right w:val="single" w:color="000000" w:sz="4" w:space="0"/>
            </w:tcBorders>
            <w:vAlign w:val="center"/>
          </w:tcPr>
          <w:p w14:paraId="737F095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河北省优秀共产党员、优秀党务工作者</w:t>
            </w:r>
          </w:p>
        </w:tc>
        <w:tc>
          <w:tcPr>
            <w:tcW w:w="2030" w:type="dxa"/>
            <w:tcBorders>
              <w:top w:val="single" w:color="000000" w:sz="4" w:space="0"/>
              <w:left w:val="single" w:color="000000" w:sz="4" w:space="0"/>
              <w:bottom w:val="single" w:color="000000" w:sz="4" w:space="0"/>
              <w:right w:val="single" w:color="000000" w:sz="4" w:space="0"/>
            </w:tcBorders>
            <w:vAlign w:val="center"/>
          </w:tcPr>
          <w:p w14:paraId="111B622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秦皇岛市优秀共产党员、优秀党务工作者</w:t>
            </w:r>
          </w:p>
        </w:tc>
        <w:tc>
          <w:tcPr>
            <w:tcW w:w="1910" w:type="dxa"/>
            <w:tcBorders>
              <w:top w:val="single" w:color="000000" w:sz="4" w:space="0"/>
              <w:left w:val="single" w:color="000000" w:sz="4" w:space="0"/>
              <w:bottom w:val="single" w:color="000000" w:sz="4" w:space="0"/>
              <w:right w:val="single" w:color="000000" w:sz="4" w:space="0"/>
            </w:tcBorders>
            <w:vAlign w:val="center"/>
          </w:tcPr>
          <w:p w14:paraId="3B083A0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学院优秀共产党员、优秀党务工作者、“四有”共产党员（标兵）</w:t>
            </w:r>
          </w:p>
        </w:tc>
      </w:tr>
      <w:tr w14:paraId="08410F2A">
        <w:tblPrEx>
          <w:tblCellMar>
            <w:top w:w="0" w:type="dxa"/>
            <w:left w:w="108" w:type="dxa"/>
            <w:bottom w:w="0" w:type="dxa"/>
            <w:right w:w="108" w:type="dxa"/>
          </w:tblCellMar>
        </w:tblPrEx>
        <w:trPr>
          <w:trHeight w:val="740"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5CCF73E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4A560E0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12</w:t>
            </w:r>
          </w:p>
        </w:tc>
        <w:tc>
          <w:tcPr>
            <w:tcW w:w="2100" w:type="dxa"/>
            <w:tcBorders>
              <w:top w:val="single" w:color="000000" w:sz="4" w:space="0"/>
              <w:left w:val="single" w:color="000000" w:sz="4" w:space="0"/>
              <w:bottom w:val="single" w:color="000000" w:sz="4" w:space="0"/>
              <w:right w:val="single" w:color="000000" w:sz="4" w:space="0"/>
            </w:tcBorders>
            <w:vAlign w:val="center"/>
          </w:tcPr>
          <w:p w14:paraId="278D58B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rPr>
              <w:t>全国优秀共青团干部</w:t>
            </w:r>
          </w:p>
        </w:tc>
        <w:tc>
          <w:tcPr>
            <w:tcW w:w="2250" w:type="dxa"/>
            <w:tcBorders>
              <w:top w:val="single" w:color="000000" w:sz="4" w:space="0"/>
              <w:left w:val="single" w:color="000000" w:sz="4" w:space="0"/>
              <w:bottom w:val="single" w:color="000000" w:sz="4" w:space="0"/>
              <w:right w:val="single" w:color="000000" w:sz="4" w:space="0"/>
            </w:tcBorders>
            <w:vAlign w:val="center"/>
          </w:tcPr>
          <w:p w14:paraId="2D30048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河北省优秀共青团干部</w:t>
            </w:r>
          </w:p>
        </w:tc>
        <w:tc>
          <w:tcPr>
            <w:tcW w:w="2030" w:type="dxa"/>
            <w:tcBorders>
              <w:top w:val="single" w:color="000000" w:sz="4" w:space="0"/>
              <w:left w:val="single" w:color="000000" w:sz="4" w:space="0"/>
              <w:bottom w:val="single" w:color="000000" w:sz="4" w:space="0"/>
              <w:right w:val="single" w:color="000000" w:sz="4" w:space="0"/>
            </w:tcBorders>
            <w:vAlign w:val="center"/>
          </w:tcPr>
          <w:p w14:paraId="297BDB4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7FC83D3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r w14:paraId="233079EA">
        <w:tblPrEx>
          <w:tblCellMar>
            <w:top w:w="0" w:type="dxa"/>
            <w:left w:w="108" w:type="dxa"/>
            <w:bottom w:w="0" w:type="dxa"/>
            <w:right w:w="108" w:type="dxa"/>
          </w:tblCellMar>
        </w:tblPrEx>
        <w:trPr>
          <w:trHeight w:val="760" w:hRule="atLeast"/>
          <w:jc w:val="center"/>
        </w:trPr>
        <w:tc>
          <w:tcPr>
            <w:tcW w:w="1412" w:type="dxa"/>
            <w:vMerge w:val="continue"/>
            <w:tcBorders>
              <w:top w:val="single" w:color="000000" w:sz="4" w:space="0"/>
              <w:left w:val="single" w:color="000000" w:sz="4" w:space="0"/>
              <w:bottom w:val="single" w:color="000000" w:sz="4" w:space="0"/>
              <w:right w:val="single" w:color="000000" w:sz="4" w:space="0"/>
            </w:tcBorders>
            <w:vAlign w:val="center"/>
          </w:tcPr>
          <w:p w14:paraId="30BEFFD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530" w:type="dxa"/>
            <w:tcBorders>
              <w:top w:val="single" w:color="000000" w:sz="4" w:space="0"/>
              <w:left w:val="single" w:color="000000" w:sz="4" w:space="0"/>
              <w:bottom w:val="single" w:color="000000" w:sz="4" w:space="0"/>
              <w:right w:val="single" w:color="000000" w:sz="4" w:space="0"/>
            </w:tcBorders>
            <w:vAlign w:val="center"/>
          </w:tcPr>
          <w:p w14:paraId="4870AE6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13</w:t>
            </w:r>
          </w:p>
        </w:tc>
        <w:tc>
          <w:tcPr>
            <w:tcW w:w="2100" w:type="dxa"/>
            <w:tcBorders>
              <w:top w:val="single" w:color="000000" w:sz="4" w:space="0"/>
              <w:left w:val="single" w:color="000000" w:sz="4" w:space="0"/>
              <w:bottom w:val="single" w:color="000000" w:sz="4" w:space="0"/>
              <w:right w:val="single" w:color="000000" w:sz="4" w:space="0"/>
            </w:tcBorders>
            <w:vAlign w:val="center"/>
          </w:tcPr>
          <w:p w14:paraId="5831CE2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250" w:type="dxa"/>
            <w:tcBorders>
              <w:top w:val="single" w:color="000000" w:sz="4" w:space="0"/>
              <w:left w:val="single" w:color="000000" w:sz="4" w:space="0"/>
              <w:bottom w:val="single" w:color="000000" w:sz="4" w:space="0"/>
              <w:right w:val="single" w:color="000000" w:sz="4" w:space="0"/>
            </w:tcBorders>
            <w:vAlign w:val="center"/>
          </w:tcPr>
          <w:p w14:paraId="3E7BADE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河北省“三育人”先进个人</w:t>
            </w:r>
          </w:p>
        </w:tc>
        <w:tc>
          <w:tcPr>
            <w:tcW w:w="2030" w:type="dxa"/>
            <w:tcBorders>
              <w:top w:val="single" w:color="000000" w:sz="4" w:space="0"/>
              <w:left w:val="single" w:color="000000" w:sz="4" w:space="0"/>
              <w:bottom w:val="single" w:color="000000" w:sz="4" w:space="0"/>
              <w:right w:val="single" w:color="000000" w:sz="4" w:space="0"/>
            </w:tcBorders>
            <w:vAlign w:val="center"/>
          </w:tcPr>
          <w:p w14:paraId="55E228D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秦皇岛市“三育人”先进个人</w:t>
            </w:r>
          </w:p>
        </w:tc>
        <w:tc>
          <w:tcPr>
            <w:tcW w:w="1910" w:type="dxa"/>
            <w:tcBorders>
              <w:top w:val="single" w:color="000000" w:sz="4" w:space="0"/>
              <w:left w:val="single" w:color="000000" w:sz="4" w:space="0"/>
              <w:bottom w:val="single" w:color="000000" w:sz="4" w:space="0"/>
              <w:right w:val="single" w:color="000000" w:sz="4" w:space="0"/>
            </w:tcBorders>
            <w:vAlign w:val="center"/>
          </w:tcPr>
          <w:p w14:paraId="4E8956D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学院“三育人”先进个人</w:t>
            </w:r>
          </w:p>
        </w:tc>
      </w:tr>
      <w:tr w14:paraId="36B1E8DE">
        <w:tblPrEx>
          <w:tblCellMar>
            <w:top w:w="0" w:type="dxa"/>
            <w:left w:w="108" w:type="dxa"/>
            <w:bottom w:w="0" w:type="dxa"/>
            <w:right w:w="108" w:type="dxa"/>
          </w:tblCellMar>
        </w:tblPrEx>
        <w:trPr>
          <w:trHeight w:val="824" w:hRule="atLeast"/>
          <w:jc w:val="center"/>
        </w:trPr>
        <w:tc>
          <w:tcPr>
            <w:tcW w:w="1412" w:type="dxa"/>
            <w:tcBorders>
              <w:top w:val="single" w:color="000000" w:sz="4" w:space="0"/>
              <w:left w:val="single" w:color="000000" w:sz="4" w:space="0"/>
              <w:bottom w:val="single" w:color="000000" w:sz="4" w:space="0"/>
              <w:right w:val="single" w:color="000000" w:sz="4" w:space="0"/>
            </w:tcBorders>
            <w:vAlign w:val="center"/>
          </w:tcPr>
          <w:p w14:paraId="49E85773">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学生工作类</w:t>
            </w:r>
          </w:p>
          <w:p w14:paraId="0503027A">
            <w:pPr>
              <w:keepNext w:val="0"/>
              <w:keepLines w:val="0"/>
              <w:pageBreakBefore w:val="0"/>
              <w:widowControl w:val="0"/>
              <w:kinsoku/>
              <w:wordWrap/>
              <w:overflowPunct/>
              <w:topLinePunct w:val="0"/>
              <w:autoSpaceDE/>
              <w:autoSpaceDN/>
              <w:bidi w:val="0"/>
              <w:adjustRightInd/>
              <w:snapToGrid/>
              <w:spacing w:line="240" w:lineRule="exact"/>
              <w:jc w:val="center"/>
              <w:textAlignment w:val="center"/>
              <w:rPr>
                <w:rFonts w:ascii="宋体" w:hAnsi="宋体" w:cs="宋体"/>
                <w:color w:val="auto"/>
                <w:sz w:val="20"/>
                <w:szCs w:val="20"/>
              </w:rPr>
            </w:pPr>
            <w:r>
              <w:rPr>
                <w:rFonts w:hint="eastAsia" w:ascii="宋体" w:hAnsi="宋体" w:cs="宋体"/>
                <w:color w:val="auto"/>
                <w:sz w:val="21"/>
                <w:szCs w:val="21"/>
                <w:lang w:bidi="ar"/>
              </w:rPr>
              <w:t>（仅限学生思想政治教育专业使用）</w:t>
            </w:r>
          </w:p>
        </w:tc>
        <w:tc>
          <w:tcPr>
            <w:tcW w:w="530" w:type="dxa"/>
            <w:tcBorders>
              <w:top w:val="single" w:color="000000" w:sz="4" w:space="0"/>
              <w:left w:val="single" w:color="000000" w:sz="4" w:space="0"/>
              <w:bottom w:val="single" w:color="000000" w:sz="4" w:space="0"/>
              <w:right w:val="single" w:color="000000" w:sz="4" w:space="0"/>
            </w:tcBorders>
            <w:vAlign w:val="center"/>
          </w:tcPr>
          <w:p w14:paraId="4051716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14</w:t>
            </w:r>
          </w:p>
        </w:tc>
        <w:tc>
          <w:tcPr>
            <w:tcW w:w="2100" w:type="dxa"/>
            <w:tcBorders>
              <w:top w:val="single" w:color="000000" w:sz="4" w:space="0"/>
              <w:left w:val="single" w:color="000000" w:sz="4" w:space="0"/>
              <w:bottom w:val="single" w:color="000000" w:sz="4" w:space="0"/>
              <w:right w:val="single" w:color="000000" w:sz="4" w:space="0"/>
            </w:tcBorders>
            <w:vAlign w:val="center"/>
          </w:tcPr>
          <w:p w14:paraId="2280287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全国高校辅导员年度人物（含提名奖）</w:t>
            </w:r>
          </w:p>
        </w:tc>
        <w:tc>
          <w:tcPr>
            <w:tcW w:w="2250" w:type="dxa"/>
            <w:tcBorders>
              <w:top w:val="single" w:color="000000" w:sz="4" w:space="0"/>
              <w:left w:val="single" w:color="000000" w:sz="4" w:space="0"/>
              <w:bottom w:val="single" w:color="000000" w:sz="4" w:space="0"/>
              <w:right w:val="single" w:color="000000" w:sz="4" w:space="0"/>
            </w:tcBorders>
            <w:vAlign w:val="center"/>
          </w:tcPr>
          <w:p w14:paraId="3F9D3D7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河北省高校辅导员年度人物（含提名奖）</w:t>
            </w:r>
          </w:p>
        </w:tc>
        <w:tc>
          <w:tcPr>
            <w:tcW w:w="2030" w:type="dxa"/>
            <w:tcBorders>
              <w:top w:val="single" w:color="000000" w:sz="4" w:space="0"/>
              <w:left w:val="single" w:color="000000" w:sz="4" w:space="0"/>
              <w:bottom w:val="single" w:color="000000" w:sz="4" w:space="0"/>
              <w:right w:val="single" w:color="000000" w:sz="4" w:space="0"/>
            </w:tcBorders>
            <w:vAlign w:val="center"/>
          </w:tcPr>
          <w:p w14:paraId="49F6F5C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910" w:type="dxa"/>
            <w:tcBorders>
              <w:top w:val="single" w:color="000000" w:sz="4" w:space="0"/>
              <w:left w:val="single" w:color="000000" w:sz="4" w:space="0"/>
              <w:bottom w:val="single" w:color="000000" w:sz="4" w:space="0"/>
              <w:right w:val="single" w:color="000000" w:sz="4" w:space="0"/>
            </w:tcBorders>
            <w:vAlign w:val="center"/>
          </w:tcPr>
          <w:p w14:paraId="14F04A90">
            <w:pPr>
              <w:keepNext w:val="0"/>
              <w:keepLines w:val="0"/>
              <w:pageBreakBefore w:val="0"/>
              <w:widowControl w:val="0"/>
              <w:kinsoku/>
              <w:wordWrap/>
              <w:overflowPunct/>
              <w:topLinePunct w:val="0"/>
              <w:bidi w:val="0"/>
              <w:adjustRightInd/>
              <w:snapToGrid/>
              <w:jc w:val="center"/>
              <w:rPr>
                <w:rFonts w:ascii="宋体" w:hAnsi="宋体" w:cs="宋体"/>
                <w:strike/>
                <w:color w:val="auto"/>
                <w:sz w:val="22"/>
                <w:szCs w:val="22"/>
              </w:rPr>
            </w:pPr>
          </w:p>
        </w:tc>
      </w:tr>
    </w:tbl>
    <w:p w14:paraId="68113519">
      <w:pPr>
        <w:keepNext w:val="0"/>
        <w:keepLines w:val="0"/>
        <w:pageBreakBefore w:val="0"/>
        <w:widowControl w:val="0"/>
        <w:kinsoku/>
        <w:wordWrap/>
        <w:overflowPunct/>
        <w:topLinePunct w:val="0"/>
        <w:bidi w:val="0"/>
        <w:adjustRightInd/>
        <w:snapToGrid/>
        <w:rPr>
          <w:color w:val="auto"/>
        </w:rPr>
      </w:pPr>
      <w:r>
        <w:rPr>
          <w:color w:val="auto"/>
        </w:rPr>
        <w:br w:type="page"/>
      </w:r>
    </w:p>
    <w:tbl>
      <w:tblPr>
        <w:tblStyle w:val="4"/>
        <w:tblW w:w="10250" w:type="dxa"/>
        <w:jc w:val="center"/>
        <w:tblLayout w:type="autofit"/>
        <w:tblCellMar>
          <w:top w:w="0" w:type="dxa"/>
          <w:left w:w="108" w:type="dxa"/>
          <w:bottom w:w="0" w:type="dxa"/>
          <w:right w:w="108" w:type="dxa"/>
        </w:tblCellMar>
      </w:tblPr>
      <w:tblGrid>
        <w:gridCol w:w="690"/>
        <w:gridCol w:w="4180"/>
        <w:gridCol w:w="4220"/>
        <w:gridCol w:w="1160"/>
      </w:tblGrid>
      <w:tr w14:paraId="74A897C7">
        <w:tblPrEx>
          <w:tblCellMar>
            <w:top w:w="0" w:type="dxa"/>
            <w:left w:w="108" w:type="dxa"/>
            <w:bottom w:w="0" w:type="dxa"/>
            <w:right w:w="108" w:type="dxa"/>
          </w:tblCellMar>
        </w:tblPrEx>
        <w:trPr>
          <w:trHeight w:val="720" w:hRule="atLeast"/>
          <w:jc w:val="center"/>
        </w:trPr>
        <w:tc>
          <w:tcPr>
            <w:tcW w:w="10250" w:type="dxa"/>
            <w:gridSpan w:val="4"/>
            <w:tcBorders>
              <w:top w:val="nil"/>
              <w:left w:val="nil"/>
              <w:bottom w:val="nil"/>
              <w:right w:val="nil"/>
            </w:tcBorders>
            <w:vAlign w:val="center"/>
          </w:tcPr>
          <w:p w14:paraId="1A523773">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hint="eastAsia" w:ascii="黑体" w:hAnsi="黑体" w:eastAsia="黑体" w:cs="黑体"/>
                <w:color w:val="auto"/>
                <w:sz w:val="24"/>
                <w:szCs w:val="28"/>
              </w:rPr>
            </w:pPr>
            <w:r>
              <w:rPr>
                <w:rFonts w:hint="eastAsia" w:ascii="黑体" w:hAnsi="黑体" w:eastAsia="黑体" w:cs="黑体"/>
                <w:color w:val="auto"/>
                <w:sz w:val="24"/>
                <w:szCs w:val="28"/>
              </w:rPr>
              <w:t>附录2</w:t>
            </w:r>
          </w:p>
          <w:p w14:paraId="2AA6B24E">
            <w:pPr>
              <w:keepNext w:val="0"/>
              <w:keepLines w:val="0"/>
              <w:pageBreakBefore w:val="0"/>
              <w:widowControl w:val="0"/>
              <w:kinsoku/>
              <w:wordWrap/>
              <w:overflowPunct/>
              <w:topLinePunct w:val="0"/>
              <w:bidi w:val="0"/>
              <w:adjustRightInd/>
              <w:snapToGrid/>
              <w:jc w:val="center"/>
              <w:textAlignment w:val="center"/>
              <w:rPr>
                <w:b/>
                <w:bCs/>
                <w:color w:val="auto"/>
              </w:rPr>
            </w:pPr>
            <w:r>
              <w:rPr>
                <w:rFonts w:hint="eastAsia" w:ascii="方正小标宋简体" w:hAnsi="方正小标宋简体" w:eastAsia="方正小标宋简体" w:cs="方正小标宋简体"/>
                <w:color w:val="auto"/>
                <w:sz w:val="32"/>
                <w:szCs w:val="32"/>
                <w:lang w:bidi="ar"/>
              </w:rPr>
              <w:t>指导学生比赛赛项目录</w:t>
            </w:r>
          </w:p>
        </w:tc>
      </w:tr>
      <w:tr w14:paraId="42E4566A">
        <w:tblPrEx>
          <w:tblCellMar>
            <w:top w:w="0" w:type="dxa"/>
            <w:left w:w="108" w:type="dxa"/>
            <w:bottom w:w="0" w:type="dxa"/>
            <w:right w:w="108" w:type="dxa"/>
          </w:tblCellMar>
        </w:tblPrEx>
        <w:trPr>
          <w:trHeight w:val="402"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17A7E8A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序号</w:t>
            </w:r>
          </w:p>
        </w:tc>
        <w:tc>
          <w:tcPr>
            <w:tcW w:w="4180" w:type="dxa"/>
            <w:tcBorders>
              <w:top w:val="single" w:color="000000" w:sz="4" w:space="0"/>
              <w:left w:val="single" w:color="000000" w:sz="4" w:space="0"/>
              <w:bottom w:val="single" w:color="000000" w:sz="4" w:space="0"/>
              <w:right w:val="single" w:color="000000" w:sz="4" w:space="0"/>
            </w:tcBorders>
            <w:vAlign w:val="center"/>
          </w:tcPr>
          <w:p w14:paraId="24096FB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赛项名称</w:t>
            </w:r>
          </w:p>
        </w:tc>
        <w:tc>
          <w:tcPr>
            <w:tcW w:w="4220" w:type="dxa"/>
            <w:tcBorders>
              <w:top w:val="single" w:color="000000" w:sz="4" w:space="0"/>
              <w:left w:val="single" w:color="000000" w:sz="4" w:space="0"/>
              <w:bottom w:val="single" w:color="000000" w:sz="4" w:space="0"/>
              <w:right w:val="single" w:color="000000" w:sz="4" w:space="0"/>
            </w:tcBorders>
            <w:vAlign w:val="center"/>
          </w:tcPr>
          <w:p w14:paraId="2E80FB4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主办单位</w:t>
            </w:r>
          </w:p>
        </w:tc>
        <w:tc>
          <w:tcPr>
            <w:tcW w:w="1160" w:type="dxa"/>
            <w:tcBorders>
              <w:top w:val="single" w:color="000000" w:sz="4" w:space="0"/>
              <w:left w:val="single" w:color="000000" w:sz="4" w:space="0"/>
              <w:bottom w:val="single" w:color="000000" w:sz="4" w:space="0"/>
              <w:right w:val="single" w:color="000000" w:sz="4" w:space="0"/>
            </w:tcBorders>
            <w:vAlign w:val="center"/>
          </w:tcPr>
          <w:p w14:paraId="738EF548">
            <w:pPr>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认定级别</w:t>
            </w:r>
          </w:p>
        </w:tc>
      </w:tr>
      <w:tr w14:paraId="3C6BB1D8">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79699D0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1</w:t>
            </w:r>
          </w:p>
        </w:tc>
        <w:tc>
          <w:tcPr>
            <w:tcW w:w="4180" w:type="dxa"/>
            <w:tcBorders>
              <w:top w:val="single" w:color="000000" w:sz="4" w:space="0"/>
              <w:left w:val="single" w:color="000000" w:sz="4" w:space="0"/>
              <w:bottom w:val="single" w:color="000000" w:sz="4" w:space="0"/>
              <w:right w:val="single" w:color="000000" w:sz="4" w:space="0"/>
            </w:tcBorders>
            <w:vAlign w:val="center"/>
          </w:tcPr>
          <w:p w14:paraId="6C36BF3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全国职业院校学生技能大赛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69B2287A">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教育部</w:t>
            </w:r>
          </w:p>
        </w:tc>
        <w:tc>
          <w:tcPr>
            <w:tcW w:w="1160" w:type="dxa"/>
            <w:vMerge w:val="restart"/>
            <w:tcBorders>
              <w:top w:val="single" w:color="000000" w:sz="4" w:space="0"/>
              <w:left w:val="single" w:color="000000" w:sz="4" w:space="0"/>
              <w:right w:val="single" w:color="000000" w:sz="4" w:space="0"/>
            </w:tcBorders>
            <w:vAlign w:val="center"/>
          </w:tcPr>
          <w:p w14:paraId="31C4618B">
            <w:pPr>
              <w:jc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国家级</w:t>
            </w:r>
          </w:p>
          <w:p w14:paraId="33801387">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A类</w:t>
            </w:r>
          </w:p>
        </w:tc>
      </w:tr>
      <w:tr w14:paraId="42EF0639">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4930AE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2</w:t>
            </w:r>
          </w:p>
        </w:tc>
        <w:tc>
          <w:tcPr>
            <w:tcW w:w="4180" w:type="dxa"/>
            <w:tcBorders>
              <w:top w:val="single" w:color="000000" w:sz="4" w:space="0"/>
              <w:left w:val="single" w:color="000000" w:sz="4" w:space="0"/>
              <w:bottom w:val="single" w:color="000000" w:sz="4" w:space="0"/>
              <w:right w:val="single" w:color="000000" w:sz="4" w:space="0"/>
            </w:tcBorders>
            <w:vAlign w:val="center"/>
          </w:tcPr>
          <w:p w14:paraId="4B29EC9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中华人民共和国职业技能大赛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0B73F88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人力资源与社会保障部</w:t>
            </w:r>
          </w:p>
        </w:tc>
        <w:tc>
          <w:tcPr>
            <w:tcW w:w="1160" w:type="dxa"/>
            <w:vMerge w:val="continue"/>
            <w:tcBorders>
              <w:left w:val="single" w:color="000000" w:sz="4" w:space="0"/>
              <w:right w:val="single" w:color="000000" w:sz="4" w:space="0"/>
            </w:tcBorders>
            <w:vAlign w:val="center"/>
          </w:tcPr>
          <w:p w14:paraId="3C621215">
            <w:pPr>
              <w:jc w:val="center"/>
              <w:rPr>
                <w:rFonts w:hint="eastAsia" w:asciiTheme="minorEastAsia" w:hAnsiTheme="minorEastAsia" w:eastAsiaTheme="minorEastAsia" w:cstheme="minorEastAsia"/>
                <w:color w:val="auto"/>
                <w:sz w:val="22"/>
                <w:szCs w:val="22"/>
              </w:rPr>
            </w:pPr>
          </w:p>
        </w:tc>
      </w:tr>
      <w:tr w14:paraId="4C41ECFD">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B6BB1F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3</w:t>
            </w:r>
          </w:p>
        </w:tc>
        <w:tc>
          <w:tcPr>
            <w:tcW w:w="4180" w:type="dxa"/>
            <w:tcBorders>
              <w:top w:val="single" w:color="000000" w:sz="4" w:space="0"/>
              <w:left w:val="single" w:color="000000" w:sz="4" w:space="0"/>
              <w:bottom w:val="single" w:color="000000" w:sz="4" w:space="0"/>
              <w:right w:val="single" w:color="000000" w:sz="4" w:space="0"/>
            </w:tcBorders>
            <w:vAlign w:val="center"/>
          </w:tcPr>
          <w:p w14:paraId="21E915A3">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中国国际大学生创新大赛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0A1F354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教育部</w:t>
            </w:r>
          </w:p>
        </w:tc>
        <w:tc>
          <w:tcPr>
            <w:tcW w:w="1160" w:type="dxa"/>
            <w:vMerge w:val="continue"/>
            <w:tcBorders>
              <w:left w:val="single" w:color="000000" w:sz="4" w:space="0"/>
              <w:right w:val="single" w:color="000000" w:sz="4" w:space="0"/>
            </w:tcBorders>
            <w:vAlign w:val="center"/>
          </w:tcPr>
          <w:p w14:paraId="6F034DF1">
            <w:pPr>
              <w:jc w:val="center"/>
              <w:rPr>
                <w:rFonts w:hint="eastAsia" w:asciiTheme="minorEastAsia" w:hAnsiTheme="minorEastAsia" w:eastAsiaTheme="minorEastAsia" w:cstheme="minorEastAsia"/>
                <w:color w:val="auto"/>
                <w:sz w:val="22"/>
                <w:szCs w:val="22"/>
                <w:highlight w:val="none"/>
              </w:rPr>
            </w:pPr>
          </w:p>
        </w:tc>
      </w:tr>
      <w:tr w14:paraId="344D597F">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A267FA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4</w:t>
            </w:r>
          </w:p>
        </w:tc>
        <w:tc>
          <w:tcPr>
            <w:tcW w:w="4180" w:type="dxa"/>
            <w:tcBorders>
              <w:top w:val="single" w:color="000000" w:sz="4" w:space="0"/>
              <w:left w:val="single" w:color="000000" w:sz="4" w:space="0"/>
              <w:bottom w:val="single" w:color="000000" w:sz="4" w:space="0"/>
              <w:right w:val="single" w:color="000000" w:sz="4" w:space="0"/>
            </w:tcBorders>
            <w:vAlign w:val="center"/>
          </w:tcPr>
          <w:p w14:paraId="272E0145">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世界技能大赛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4BE637B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世界技能大赛组织</w:t>
            </w:r>
          </w:p>
        </w:tc>
        <w:tc>
          <w:tcPr>
            <w:tcW w:w="1160" w:type="dxa"/>
            <w:vMerge w:val="continue"/>
            <w:tcBorders>
              <w:left w:val="single" w:color="000000" w:sz="4" w:space="0"/>
              <w:right w:val="single" w:color="000000" w:sz="4" w:space="0"/>
            </w:tcBorders>
            <w:vAlign w:val="center"/>
          </w:tcPr>
          <w:p w14:paraId="1754AE89">
            <w:pPr>
              <w:jc w:val="center"/>
              <w:rPr>
                <w:rFonts w:hint="eastAsia" w:asciiTheme="minorEastAsia" w:hAnsiTheme="minorEastAsia" w:eastAsiaTheme="minorEastAsia" w:cstheme="minorEastAsia"/>
                <w:color w:val="auto"/>
                <w:sz w:val="22"/>
                <w:szCs w:val="22"/>
              </w:rPr>
            </w:pPr>
          </w:p>
        </w:tc>
      </w:tr>
      <w:tr w14:paraId="5F397C48">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659A0DD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5</w:t>
            </w:r>
          </w:p>
        </w:tc>
        <w:tc>
          <w:tcPr>
            <w:tcW w:w="4180" w:type="dxa"/>
            <w:tcBorders>
              <w:top w:val="single" w:color="000000" w:sz="4" w:space="0"/>
              <w:left w:val="single" w:color="000000" w:sz="4" w:space="0"/>
              <w:bottom w:val="single" w:color="000000" w:sz="4" w:space="0"/>
              <w:right w:val="single" w:color="000000" w:sz="4" w:space="0"/>
            </w:tcBorders>
            <w:vAlign w:val="center"/>
          </w:tcPr>
          <w:p w14:paraId="7E7DF407">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“挑战杯”大学生课外学术科技作品竞赛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7EBBDB5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共青团中央、教育部</w:t>
            </w:r>
          </w:p>
        </w:tc>
        <w:tc>
          <w:tcPr>
            <w:tcW w:w="1160" w:type="dxa"/>
            <w:vMerge w:val="continue"/>
            <w:tcBorders>
              <w:left w:val="single" w:color="000000" w:sz="4" w:space="0"/>
              <w:right w:val="single" w:color="000000" w:sz="4" w:space="0"/>
            </w:tcBorders>
            <w:vAlign w:val="center"/>
          </w:tcPr>
          <w:p w14:paraId="1E31FC6E">
            <w:pPr>
              <w:jc w:val="center"/>
              <w:rPr>
                <w:rFonts w:hint="eastAsia" w:asciiTheme="minorEastAsia" w:hAnsiTheme="minorEastAsia" w:eastAsiaTheme="minorEastAsia" w:cstheme="minorEastAsia"/>
                <w:color w:val="auto"/>
                <w:sz w:val="22"/>
                <w:szCs w:val="22"/>
              </w:rPr>
            </w:pPr>
          </w:p>
        </w:tc>
      </w:tr>
      <w:tr w14:paraId="78E01936">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321B3A9A">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6</w:t>
            </w:r>
          </w:p>
        </w:tc>
        <w:tc>
          <w:tcPr>
            <w:tcW w:w="4180" w:type="dxa"/>
            <w:tcBorders>
              <w:top w:val="single" w:color="000000" w:sz="4" w:space="0"/>
              <w:left w:val="single" w:color="000000" w:sz="4" w:space="0"/>
              <w:bottom w:val="single" w:color="000000" w:sz="4" w:space="0"/>
              <w:right w:val="single" w:color="000000" w:sz="4" w:space="0"/>
            </w:tcBorders>
            <w:vAlign w:val="center"/>
          </w:tcPr>
          <w:p w14:paraId="7EE18ED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“挑战杯”创业计划大赛（创青春）</w:t>
            </w:r>
          </w:p>
        </w:tc>
        <w:tc>
          <w:tcPr>
            <w:tcW w:w="4220" w:type="dxa"/>
            <w:tcBorders>
              <w:top w:val="single" w:color="000000" w:sz="4" w:space="0"/>
              <w:left w:val="single" w:color="000000" w:sz="4" w:space="0"/>
              <w:bottom w:val="single" w:color="000000" w:sz="4" w:space="0"/>
              <w:right w:val="single" w:color="000000" w:sz="4" w:space="0"/>
            </w:tcBorders>
            <w:vAlign w:val="center"/>
          </w:tcPr>
          <w:p w14:paraId="3634CB76">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共青团中央、教育部</w:t>
            </w:r>
          </w:p>
        </w:tc>
        <w:tc>
          <w:tcPr>
            <w:tcW w:w="1160" w:type="dxa"/>
            <w:vMerge w:val="continue"/>
            <w:tcBorders>
              <w:left w:val="single" w:color="000000" w:sz="4" w:space="0"/>
              <w:right w:val="single" w:color="000000" w:sz="4" w:space="0"/>
            </w:tcBorders>
            <w:vAlign w:val="center"/>
          </w:tcPr>
          <w:p w14:paraId="7E9E105B">
            <w:pPr>
              <w:jc w:val="center"/>
              <w:rPr>
                <w:rFonts w:hint="eastAsia" w:asciiTheme="minorEastAsia" w:hAnsiTheme="minorEastAsia" w:eastAsiaTheme="minorEastAsia" w:cstheme="minorEastAsia"/>
                <w:color w:val="auto"/>
                <w:sz w:val="22"/>
                <w:szCs w:val="22"/>
              </w:rPr>
            </w:pPr>
          </w:p>
        </w:tc>
      </w:tr>
      <w:tr w14:paraId="2E6E4AB1">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7A214E1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7</w:t>
            </w:r>
          </w:p>
        </w:tc>
        <w:tc>
          <w:tcPr>
            <w:tcW w:w="4180" w:type="dxa"/>
            <w:tcBorders>
              <w:top w:val="single" w:color="000000" w:sz="4" w:space="0"/>
              <w:left w:val="single" w:color="000000" w:sz="4" w:space="0"/>
              <w:bottom w:val="single" w:color="000000" w:sz="4" w:space="0"/>
              <w:right w:val="single" w:color="000000" w:sz="4" w:space="0"/>
            </w:tcBorders>
            <w:vAlign w:val="center"/>
          </w:tcPr>
          <w:p w14:paraId="18BE364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全国大学生职业规划大赛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034F7BBA">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教育部</w:t>
            </w:r>
          </w:p>
        </w:tc>
        <w:tc>
          <w:tcPr>
            <w:tcW w:w="1160" w:type="dxa"/>
            <w:vMerge w:val="continue"/>
            <w:tcBorders>
              <w:left w:val="single" w:color="000000" w:sz="4" w:space="0"/>
              <w:right w:val="single" w:color="000000" w:sz="4" w:space="0"/>
            </w:tcBorders>
            <w:vAlign w:val="center"/>
          </w:tcPr>
          <w:p w14:paraId="6C45FDA2">
            <w:pPr>
              <w:jc w:val="center"/>
              <w:rPr>
                <w:rFonts w:hint="eastAsia" w:asciiTheme="minorEastAsia" w:hAnsiTheme="minorEastAsia" w:eastAsiaTheme="minorEastAsia" w:cstheme="minorEastAsia"/>
                <w:color w:val="auto"/>
                <w:sz w:val="22"/>
                <w:szCs w:val="22"/>
                <w:highlight w:val="none"/>
              </w:rPr>
            </w:pPr>
          </w:p>
        </w:tc>
      </w:tr>
      <w:tr w14:paraId="76462753">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F2E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8</w:t>
            </w:r>
          </w:p>
        </w:tc>
        <w:tc>
          <w:tcPr>
            <w:tcW w:w="4180" w:type="dxa"/>
            <w:tcBorders>
              <w:top w:val="single" w:color="000000" w:sz="4" w:space="0"/>
              <w:left w:val="single" w:color="000000" w:sz="4" w:space="0"/>
              <w:bottom w:val="single" w:color="000000" w:sz="4" w:space="0"/>
              <w:right w:val="single" w:color="000000" w:sz="4" w:space="0"/>
            </w:tcBorders>
            <w:vAlign w:val="center"/>
          </w:tcPr>
          <w:p w14:paraId="4561497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全国大学生艺术展演</w:t>
            </w:r>
          </w:p>
        </w:tc>
        <w:tc>
          <w:tcPr>
            <w:tcW w:w="4220" w:type="dxa"/>
            <w:tcBorders>
              <w:top w:val="single" w:color="000000" w:sz="4" w:space="0"/>
              <w:left w:val="single" w:color="000000" w:sz="4" w:space="0"/>
              <w:bottom w:val="single" w:color="000000" w:sz="4" w:space="0"/>
              <w:right w:val="single" w:color="000000" w:sz="4" w:space="0"/>
            </w:tcBorders>
            <w:vAlign w:val="center"/>
          </w:tcPr>
          <w:p w14:paraId="1075F386">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教育部</w:t>
            </w:r>
          </w:p>
        </w:tc>
        <w:tc>
          <w:tcPr>
            <w:tcW w:w="1160" w:type="dxa"/>
            <w:vMerge w:val="continue"/>
            <w:tcBorders>
              <w:left w:val="single" w:color="000000" w:sz="4" w:space="0"/>
              <w:right w:val="single" w:color="000000" w:sz="4" w:space="0"/>
            </w:tcBorders>
            <w:vAlign w:val="center"/>
          </w:tcPr>
          <w:p w14:paraId="21C1CEC2">
            <w:pPr>
              <w:jc w:val="center"/>
              <w:rPr>
                <w:rFonts w:hint="eastAsia" w:asciiTheme="minorEastAsia" w:hAnsiTheme="minorEastAsia" w:eastAsiaTheme="minorEastAsia" w:cstheme="minorEastAsia"/>
                <w:color w:val="auto"/>
                <w:sz w:val="22"/>
                <w:szCs w:val="22"/>
                <w:highlight w:val="none"/>
              </w:rPr>
            </w:pPr>
          </w:p>
        </w:tc>
      </w:tr>
      <w:tr w14:paraId="4EFD913A">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D93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2"/>
                <w:szCs w:val="22"/>
                <w:lang w:val="en-US" w:eastAsia="zh-CN" w:bidi="ar"/>
              </w:rPr>
            </w:pPr>
            <w:r>
              <w:rPr>
                <w:rFonts w:hint="eastAsia" w:asciiTheme="minorEastAsia" w:hAnsiTheme="minorEastAsia" w:eastAsiaTheme="minorEastAsia" w:cstheme="minorEastAsia"/>
                <w:color w:val="auto"/>
                <w:sz w:val="22"/>
                <w:szCs w:val="22"/>
                <w:lang w:bidi="ar"/>
              </w:rPr>
              <w:t>9</w:t>
            </w:r>
          </w:p>
        </w:tc>
        <w:tc>
          <w:tcPr>
            <w:tcW w:w="4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B0F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kern w:val="2"/>
                <w:sz w:val="22"/>
                <w:szCs w:val="22"/>
                <w:lang w:val="en-US" w:eastAsia="zh-CN" w:bidi="ar-SA"/>
                <w:woUserID w:val="3"/>
              </w:rPr>
            </w:pPr>
            <w:r>
              <w:rPr>
                <w:rFonts w:hint="eastAsia" w:asciiTheme="minorEastAsia" w:hAnsiTheme="minorEastAsia" w:eastAsiaTheme="minorEastAsia" w:cstheme="minorEastAsia"/>
                <w:i w:val="0"/>
                <w:iCs w:val="0"/>
                <w:caps w:val="0"/>
                <w:color w:val="auto"/>
                <w:spacing w:val="0"/>
                <w:sz w:val="22"/>
                <w:szCs w:val="22"/>
                <w:shd w:val="clear" w:fill="FFFFFF"/>
                <w:woUserID w:val="3"/>
              </w:rPr>
              <w:t>中华人民共和国学生（青年）运动会</w:t>
            </w:r>
          </w:p>
        </w:tc>
        <w:tc>
          <w:tcPr>
            <w:tcW w:w="4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2C5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lang w:bidi="ar"/>
              </w:rPr>
              <w:t>教育部、国家体育总局、共青团中央</w:t>
            </w:r>
          </w:p>
        </w:tc>
        <w:tc>
          <w:tcPr>
            <w:tcW w:w="1160" w:type="dxa"/>
            <w:vMerge w:val="continue"/>
            <w:tcBorders>
              <w:left w:val="single" w:color="000000" w:sz="4" w:space="0"/>
              <w:bottom w:val="single" w:color="000000" w:sz="4" w:space="0"/>
              <w:right w:val="single" w:color="000000" w:sz="4" w:space="0"/>
            </w:tcBorders>
            <w:vAlign w:val="center"/>
          </w:tcPr>
          <w:p w14:paraId="23017304">
            <w:pPr>
              <w:jc w:val="center"/>
              <w:rPr>
                <w:rFonts w:hint="eastAsia" w:asciiTheme="minorEastAsia" w:hAnsiTheme="minorEastAsia" w:eastAsiaTheme="minorEastAsia" w:cstheme="minorEastAsia"/>
                <w:color w:val="auto"/>
                <w:sz w:val="22"/>
                <w:szCs w:val="22"/>
                <w:highlight w:val="none"/>
              </w:rPr>
            </w:pPr>
          </w:p>
        </w:tc>
      </w:tr>
      <w:tr w14:paraId="16DEA5B8">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9F3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10</w:t>
            </w:r>
          </w:p>
        </w:tc>
        <w:tc>
          <w:tcPr>
            <w:tcW w:w="4180" w:type="dxa"/>
            <w:tcBorders>
              <w:top w:val="single" w:color="000000" w:sz="4" w:space="0"/>
              <w:left w:val="single" w:color="000000" w:sz="4" w:space="0"/>
              <w:bottom w:val="single" w:color="000000" w:sz="4" w:space="0"/>
              <w:right w:val="single" w:color="000000" w:sz="4" w:space="0"/>
            </w:tcBorders>
            <w:vAlign w:val="center"/>
          </w:tcPr>
          <w:p w14:paraId="09AAC41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全国乡村振兴职业技能大赛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6431916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eastAsia="zh" w:bidi="ar"/>
                <w:woUserID w:val="3"/>
              </w:rPr>
            </w:pPr>
            <w:r>
              <w:rPr>
                <w:rFonts w:hint="eastAsia" w:asciiTheme="minorEastAsia" w:hAnsiTheme="minorEastAsia" w:eastAsiaTheme="minorEastAsia" w:cstheme="minorEastAsia"/>
                <w:snapToGrid w:val="0"/>
                <w:color w:val="auto"/>
                <w:sz w:val="22"/>
                <w:szCs w:val="22"/>
                <w:highlight w:val="none"/>
                <w:lang w:bidi="ar"/>
              </w:rPr>
              <w:t>人力资源</w:t>
            </w:r>
            <w:r>
              <w:rPr>
                <w:rFonts w:hint="eastAsia" w:asciiTheme="minorEastAsia" w:hAnsiTheme="minorEastAsia" w:eastAsiaTheme="minorEastAsia" w:cstheme="minorEastAsia"/>
                <w:color w:val="auto"/>
                <w:sz w:val="22"/>
                <w:szCs w:val="22"/>
                <w:highlight w:val="none"/>
                <w:lang w:bidi="ar"/>
              </w:rPr>
              <w:t>与</w:t>
            </w:r>
            <w:r>
              <w:rPr>
                <w:rFonts w:hint="eastAsia" w:asciiTheme="minorEastAsia" w:hAnsiTheme="minorEastAsia" w:eastAsiaTheme="minorEastAsia" w:cstheme="minorEastAsia"/>
                <w:snapToGrid w:val="0"/>
                <w:color w:val="auto"/>
                <w:sz w:val="22"/>
                <w:szCs w:val="22"/>
                <w:highlight w:val="none"/>
                <w:lang w:bidi="ar"/>
              </w:rPr>
              <w:t>社会保障部</w:t>
            </w:r>
            <w:r>
              <w:rPr>
                <w:rFonts w:hint="eastAsia" w:asciiTheme="minorEastAsia" w:hAnsiTheme="minorEastAsia" w:eastAsiaTheme="minorEastAsia" w:cstheme="minorEastAsia"/>
                <w:snapToGrid w:val="0"/>
                <w:color w:val="auto"/>
                <w:sz w:val="22"/>
                <w:szCs w:val="22"/>
                <w:highlight w:val="none"/>
                <w:lang w:eastAsia="zh" w:bidi="ar"/>
                <w:woUserID w:val="3"/>
              </w:rPr>
              <w:t>、</w:t>
            </w:r>
            <w:r>
              <w:rPr>
                <w:rFonts w:hint="eastAsia" w:asciiTheme="minorEastAsia" w:hAnsiTheme="minorEastAsia" w:eastAsiaTheme="minorEastAsia" w:cstheme="minorEastAsia"/>
                <w:i w:val="0"/>
                <w:iCs w:val="0"/>
                <w:caps w:val="0"/>
                <w:color w:val="auto"/>
                <w:spacing w:val="0"/>
                <w:sz w:val="22"/>
                <w:szCs w:val="22"/>
                <w:shd w:val="clear" w:fill="FFFFFF"/>
                <w:woUserID w:val="3"/>
              </w:rPr>
              <w:t>国家乡村振兴局</w:t>
            </w:r>
          </w:p>
        </w:tc>
        <w:tc>
          <w:tcPr>
            <w:tcW w:w="1160" w:type="dxa"/>
            <w:vMerge w:val="restart"/>
            <w:tcBorders>
              <w:left w:val="single" w:color="000000" w:sz="4" w:space="0"/>
              <w:right w:val="single" w:color="000000" w:sz="4" w:space="0"/>
            </w:tcBorders>
            <w:vAlign w:val="center"/>
          </w:tcPr>
          <w:p w14:paraId="308560F9">
            <w:pPr>
              <w:jc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国家级</w:t>
            </w:r>
          </w:p>
          <w:p w14:paraId="56480FBA">
            <w:pPr>
              <w:jc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lang w:val="en-US" w:eastAsia="zh-CN" w:bidi="ar"/>
              </w:rPr>
              <w:t>B</w:t>
            </w:r>
            <w:r>
              <w:rPr>
                <w:rFonts w:hint="eastAsia" w:asciiTheme="minorEastAsia" w:hAnsiTheme="minorEastAsia" w:eastAsiaTheme="minorEastAsia" w:cstheme="minorEastAsia"/>
                <w:color w:val="auto"/>
                <w:sz w:val="22"/>
                <w:szCs w:val="22"/>
                <w:lang w:bidi="ar"/>
              </w:rPr>
              <w:t>类</w:t>
            </w:r>
          </w:p>
        </w:tc>
      </w:tr>
      <w:tr w14:paraId="5C8430F1">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C923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11</w:t>
            </w:r>
          </w:p>
        </w:tc>
        <w:tc>
          <w:tcPr>
            <w:tcW w:w="4180" w:type="dxa"/>
            <w:tcBorders>
              <w:top w:val="single" w:color="000000" w:sz="4" w:space="0"/>
              <w:left w:val="single" w:color="000000" w:sz="4" w:space="0"/>
              <w:bottom w:val="single" w:color="000000" w:sz="4" w:space="0"/>
              <w:right w:val="single" w:color="000000" w:sz="4" w:space="0"/>
            </w:tcBorders>
            <w:vAlign w:val="center"/>
          </w:tcPr>
          <w:p w14:paraId="7CE382E3">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中华经典诵写讲大赛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3503CE86">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woUserID w:val="3"/>
              </w:rPr>
              <w:t>教育部</w:t>
            </w:r>
            <w:r>
              <w:rPr>
                <w:rFonts w:hint="eastAsia" w:asciiTheme="minorEastAsia" w:hAnsiTheme="minorEastAsia" w:eastAsiaTheme="minorEastAsia" w:cstheme="minorEastAsia"/>
                <w:snapToGrid w:val="0"/>
                <w:color w:val="auto"/>
                <w:sz w:val="22"/>
                <w:szCs w:val="22"/>
                <w:highlight w:val="none"/>
                <w:lang w:eastAsia="zh" w:bidi="ar"/>
                <w:woUserID w:val="3"/>
              </w:rPr>
              <w:t>、</w:t>
            </w:r>
            <w:r>
              <w:rPr>
                <w:rFonts w:hint="eastAsia" w:asciiTheme="minorEastAsia" w:hAnsiTheme="minorEastAsia" w:eastAsiaTheme="minorEastAsia" w:cstheme="minorEastAsia"/>
                <w:snapToGrid w:val="0"/>
                <w:color w:val="auto"/>
                <w:sz w:val="22"/>
                <w:szCs w:val="22"/>
                <w:highlight w:val="none"/>
                <w:lang w:bidi="ar"/>
              </w:rPr>
              <w:t>‌国家语言文字工作委员会</w:t>
            </w:r>
          </w:p>
        </w:tc>
        <w:tc>
          <w:tcPr>
            <w:tcW w:w="1160" w:type="dxa"/>
            <w:vMerge w:val="continue"/>
            <w:tcBorders>
              <w:left w:val="single" w:color="000000" w:sz="4" w:space="0"/>
              <w:right w:val="single" w:color="000000" w:sz="4" w:space="0"/>
            </w:tcBorders>
            <w:vAlign w:val="center"/>
          </w:tcPr>
          <w:p w14:paraId="3D2E4B3B">
            <w:pPr>
              <w:jc w:val="center"/>
              <w:rPr>
                <w:rFonts w:hint="eastAsia" w:asciiTheme="minorEastAsia" w:hAnsiTheme="minorEastAsia" w:eastAsiaTheme="minorEastAsia" w:cstheme="minorEastAsia"/>
                <w:color w:val="auto"/>
                <w:sz w:val="22"/>
                <w:szCs w:val="22"/>
                <w:highlight w:val="none"/>
              </w:rPr>
            </w:pPr>
          </w:p>
        </w:tc>
      </w:tr>
      <w:tr w14:paraId="66619FD5">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A452">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12</w:t>
            </w:r>
          </w:p>
        </w:tc>
        <w:tc>
          <w:tcPr>
            <w:tcW w:w="4180" w:type="dxa"/>
            <w:tcBorders>
              <w:top w:val="single" w:color="000000" w:sz="4" w:space="0"/>
              <w:left w:val="single" w:color="000000" w:sz="4" w:space="0"/>
              <w:bottom w:val="single" w:color="000000" w:sz="4" w:space="0"/>
              <w:right w:val="single" w:color="000000" w:sz="4" w:space="0"/>
            </w:tcBorders>
            <w:vAlign w:val="center"/>
          </w:tcPr>
          <w:p w14:paraId="73534FAA">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全国行业职业技能竞赛（全国智能制造应用技术技能大赛、全国工业和信息化技术技能大赛等）</w:t>
            </w:r>
          </w:p>
        </w:tc>
        <w:tc>
          <w:tcPr>
            <w:tcW w:w="4220" w:type="dxa"/>
            <w:tcBorders>
              <w:top w:val="single" w:color="000000" w:sz="4" w:space="0"/>
              <w:left w:val="single" w:color="000000" w:sz="4" w:space="0"/>
              <w:bottom w:val="single" w:color="000000" w:sz="4" w:space="0"/>
              <w:right w:val="single" w:color="000000" w:sz="4" w:space="0"/>
            </w:tcBorders>
            <w:vAlign w:val="center"/>
          </w:tcPr>
          <w:p w14:paraId="472BB01C">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人力资源</w:t>
            </w:r>
            <w:r>
              <w:rPr>
                <w:rFonts w:hint="eastAsia" w:asciiTheme="minorEastAsia" w:hAnsiTheme="minorEastAsia" w:eastAsiaTheme="minorEastAsia" w:cstheme="minorEastAsia"/>
                <w:color w:val="auto"/>
                <w:sz w:val="22"/>
                <w:szCs w:val="22"/>
                <w:highlight w:val="none"/>
                <w:lang w:bidi="ar"/>
              </w:rPr>
              <w:t>与</w:t>
            </w:r>
            <w:r>
              <w:rPr>
                <w:rFonts w:hint="eastAsia" w:asciiTheme="minorEastAsia" w:hAnsiTheme="minorEastAsia" w:eastAsiaTheme="minorEastAsia" w:cstheme="minorEastAsia"/>
                <w:snapToGrid w:val="0"/>
                <w:color w:val="auto"/>
                <w:sz w:val="22"/>
                <w:szCs w:val="22"/>
                <w:highlight w:val="none"/>
                <w:lang w:bidi="ar"/>
              </w:rPr>
              <w:t>社会保障部、中华全国总工会</w:t>
            </w:r>
          </w:p>
        </w:tc>
        <w:tc>
          <w:tcPr>
            <w:tcW w:w="1160" w:type="dxa"/>
            <w:vMerge w:val="continue"/>
            <w:tcBorders>
              <w:left w:val="single" w:color="000000" w:sz="4" w:space="0"/>
              <w:right w:val="single" w:color="000000" w:sz="4" w:space="0"/>
            </w:tcBorders>
            <w:vAlign w:val="center"/>
          </w:tcPr>
          <w:p w14:paraId="1AD2CEC1">
            <w:pPr>
              <w:jc w:val="center"/>
              <w:rPr>
                <w:rFonts w:hint="eastAsia" w:asciiTheme="minorEastAsia" w:hAnsiTheme="minorEastAsia" w:eastAsiaTheme="minorEastAsia" w:cstheme="minorEastAsia"/>
                <w:color w:val="auto"/>
                <w:sz w:val="22"/>
                <w:szCs w:val="22"/>
                <w:highlight w:val="none"/>
              </w:rPr>
            </w:pPr>
          </w:p>
        </w:tc>
      </w:tr>
      <w:tr w14:paraId="3DA6CDE0">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946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bidi="ar"/>
              </w:rPr>
              <w:t>13</w:t>
            </w:r>
          </w:p>
        </w:tc>
        <w:tc>
          <w:tcPr>
            <w:tcW w:w="4180" w:type="dxa"/>
            <w:tcBorders>
              <w:top w:val="single" w:color="000000" w:sz="4" w:space="0"/>
              <w:left w:val="single" w:color="000000" w:sz="4" w:space="0"/>
              <w:bottom w:val="single" w:color="000000" w:sz="4" w:space="0"/>
              <w:right w:val="single" w:color="000000" w:sz="4" w:space="0"/>
            </w:tcBorders>
            <w:vAlign w:val="center"/>
          </w:tcPr>
          <w:p w14:paraId="20F618CE">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全国大学生电子设计竞赛（高职组）</w:t>
            </w:r>
          </w:p>
        </w:tc>
        <w:tc>
          <w:tcPr>
            <w:tcW w:w="4220" w:type="dxa"/>
            <w:tcBorders>
              <w:top w:val="single" w:color="000000" w:sz="4" w:space="0"/>
              <w:left w:val="single" w:color="000000" w:sz="4" w:space="0"/>
              <w:bottom w:val="single" w:color="000000" w:sz="4" w:space="0"/>
              <w:right w:val="single" w:color="000000" w:sz="4" w:space="0"/>
            </w:tcBorders>
            <w:vAlign w:val="center"/>
          </w:tcPr>
          <w:p w14:paraId="79E29E2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教育部、工业和信息化部</w:t>
            </w:r>
          </w:p>
        </w:tc>
        <w:tc>
          <w:tcPr>
            <w:tcW w:w="1160" w:type="dxa"/>
            <w:vMerge w:val="continue"/>
            <w:tcBorders>
              <w:left w:val="single" w:color="000000" w:sz="4" w:space="0"/>
              <w:right w:val="single" w:color="000000" w:sz="4" w:space="0"/>
            </w:tcBorders>
            <w:vAlign w:val="center"/>
          </w:tcPr>
          <w:p w14:paraId="2BB653B9">
            <w:pPr>
              <w:jc w:val="center"/>
              <w:rPr>
                <w:rFonts w:hint="eastAsia" w:asciiTheme="minorEastAsia" w:hAnsiTheme="minorEastAsia" w:eastAsiaTheme="minorEastAsia" w:cstheme="minorEastAsia"/>
                <w:color w:val="auto"/>
                <w:sz w:val="22"/>
                <w:szCs w:val="22"/>
                <w:highlight w:val="none"/>
              </w:rPr>
            </w:pPr>
          </w:p>
        </w:tc>
      </w:tr>
      <w:tr w14:paraId="3814AAE4">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10173723">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rPr>
              <w:t>14</w:t>
            </w:r>
          </w:p>
        </w:tc>
        <w:tc>
          <w:tcPr>
            <w:tcW w:w="4180" w:type="dxa"/>
            <w:tcBorders>
              <w:top w:val="single" w:color="000000" w:sz="4" w:space="0"/>
              <w:left w:val="single" w:color="000000" w:sz="4" w:space="0"/>
              <w:bottom w:val="single" w:color="000000" w:sz="4" w:space="0"/>
              <w:right w:val="single" w:color="000000" w:sz="4" w:space="0"/>
            </w:tcBorders>
            <w:vAlign w:val="center"/>
          </w:tcPr>
          <w:p w14:paraId="601D76A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全国大学生结构设计</w:t>
            </w:r>
            <w:r>
              <w:rPr>
                <w:rFonts w:hint="eastAsia" w:asciiTheme="minorEastAsia" w:hAnsiTheme="minorEastAsia" w:eastAsiaTheme="minorEastAsia" w:cstheme="minorEastAsia"/>
                <w:snapToGrid w:val="0"/>
                <w:color w:val="auto"/>
                <w:sz w:val="22"/>
                <w:szCs w:val="22"/>
                <w:highlight w:val="none"/>
                <w:lang w:eastAsia="zh" w:bidi="ar"/>
                <w:woUserID w:val="3"/>
              </w:rPr>
              <w:t>竞赛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5F35200F">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教育部、财政部</w:t>
            </w:r>
          </w:p>
        </w:tc>
        <w:tc>
          <w:tcPr>
            <w:tcW w:w="1160" w:type="dxa"/>
            <w:vMerge w:val="continue"/>
            <w:tcBorders>
              <w:left w:val="single" w:color="000000" w:sz="4" w:space="0"/>
              <w:bottom w:val="single" w:color="000000" w:sz="4" w:space="0"/>
              <w:right w:val="single" w:color="000000" w:sz="4" w:space="0"/>
            </w:tcBorders>
            <w:vAlign w:val="center"/>
          </w:tcPr>
          <w:p w14:paraId="262EB68D">
            <w:pPr>
              <w:jc w:val="center"/>
              <w:rPr>
                <w:rFonts w:hint="eastAsia" w:asciiTheme="minorEastAsia" w:hAnsiTheme="minorEastAsia" w:eastAsiaTheme="minorEastAsia" w:cstheme="minorEastAsia"/>
                <w:color w:val="auto"/>
                <w:sz w:val="22"/>
                <w:szCs w:val="22"/>
                <w:highlight w:val="none"/>
              </w:rPr>
            </w:pPr>
          </w:p>
        </w:tc>
      </w:tr>
      <w:tr w14:paraId="58D8E76A">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right w:val="single" w:color="000000" w:sz="4" w:space="0"/>
            </w:tcBorders>
            <w:vAlign w:val="center"/>
          </w:tcPr>
          <w:p w14:paraId="7533408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15</w:t>
            </w:r>
          </w:p>
        </w:tc>
        <w:tc>
          <w:tcPr>
            <w:tcW w:w="4180" w:type="dxa"/>
            <w:tcBorders>
              <w:top w:val="single" w:color="000000" w:sz="4" w:space="0"/>
              <w:left w:val="single" w:color="000000" w:sz="4" w:space="0"/>
              <w:right w:val="single" w:color="000000" w:sz="4" w:space="0"/>
            </w:tcBorders>
            <w:vAlign w:val="center"/>
          </w:tcPr>
          <w:p w14:paraId="3E6F71A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蓝桥杯全国软件和信息技术专业人才大赛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1D1E0E35">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snapToGrid w:val="0"/>
                <w:color w:val="auto"/>
                <w:sz w:val="22"/>
                <w:szCs w:val="22"/>
                <w:highlight w:val="none"/>
                <w:lang w:bidi="ar"/>
              </w:rPr>
              <w:t>工业和信息化部</w:t>
            </w:r>
            <w:r>
              <w:rPr>
                <w:rFonts w:hint="eastAsia" w:asciiTheme="minorEastAsia" w:hAnsiTheme="minorEastAsia" w:eastAsiaTheme="minorEastAsia" w:cstheme="minorEastAsia"/>
                <w:color w:val="auto"/>
                <w:sz w:val="22"/>
                <w:szCs w:val="22"/>
                <w:lang w:bidi="ar"/>
              </w:rPr>
              <w:t>人才交流中心</w:t>
            </w:r>
          </w:p>
        </w:tc>
        <w:tc>
          <w:tcPr>
            <w:tcW w:w="1160" w:type="dxa"/>
            <w:vMerge w:val="restart"/>
            <w:tcBorders>
              <w:top w:val="single" w:color="000000" w:sz="4" w:space="0"/>
              <w:left w:val="single" w:color="000000" w:sz="4" w:space="0"/>
              <w:right w:val="single" w:color="000000" w:sz="4" w:space="0"/>
            </w:tcBorders>
            <w:vAlign w:val="center"/>
          </w:tcPr>
          <w:p w14:paraId="426487A8">
            <w:pPr>
              <w:jc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国家级</w:t>
            </w:r>
          </w:p>
          <w:p w14:paraId="37A75C05">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C类</w:t>
            </w:r>
          </w:p>
        </w:tc>
      </w:tr>
      <w:tr w14:paraId="0B8BBBD0">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C3F9D8C">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16</w:t>
            </w:r>
          </w:p>
        </w:tc>
        <w:tc>
          <w:tcPr>
            <w:tcW w:w="4180" w:type="dxa"/>
            <w:tcBorders>
              <w:top w:val="single" w:color="000000" w:sz="4" w:space="0"/>
              <w:left w:val="single" w:color="000000" w:sz="4" w:space="0"/>
              <w:bottom w:val="single" w:color="000000" w:sz="4" w:space="0"/>
              <w:right w:val="single" w:color="000000" w:sz="4" w:space="0"/>
            </w:tcBorders>
            <w:vAlign w:val="center"/>
          </w:tcPr>
          <w:p w14:paraId="51955845">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全国大学生金相技能大赛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3140CF0B">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教育部高等学校材料类专业教学指导委员会</w:t>
            </w:r>
          </w:p>
        </w:tc>
        <w:tc>
          <w:tcPr>
            <w:tcW w:w="1160" w:type="dxa"/>
            <w:vMerge w:val="continue"/>
            <w:tcBorders>
              <w:left w:val="single" w:color="000000" w:sz="4" w:space="0"/>
              <w:right w:val="single" w:color="000000" w:sz="4" w:space="0"/>
            </w:tcBorders>
            <w:vAlign w:val="center"/>
          </w:tcPr>
          <w:p w14:paraId="4E700179">
            <w:pPr>
              <w:jc w:val="center"/>
              <w:rPr>
                <w:rFonts w:hint="eastAsia" w:asciiTheme="minorEastAsia" w:hAnsiTheme="minorEastAsia" w:eastAsiaTheme="minorEastAsia" w:cstheme="minorEastAsia"/>
                <w:color w:val="auto"/>
                <w:sz w:val="22"/>
                <w:szCs w:val="22"/>
              </w:rPr>
            </w:pPr>
          </w:p>
        </w:tc>
      </w:tr>
      <w:tr w14:paraId="54579309">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4BD290A0">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17</w:t>
            </w:r>
          </w:p>
        </w:tc>
        <w:tc>
          <w:tcPr>
            <w:tcW w:w="4180" w:type="dxa"/>
            <w:tcBorders>
              <w:top w:val="single" w:color="000000" w:sz="4" w:space="0"/>
              <w:left w:val="single" w:color="000000" w:sz="4" w:space="0"/>
              <w:bottom w:val="single" w:color="000000" w:sz="4" w:space="0"/>
              <w:right w:val="single" w:color="000000" w:sz="4" w:space="0"/>
            </w:tcBorders>
            <w:vAlign w:val="center"/>
          </w:tcPr>
          <w:p w14:paraId="7CE5A3D8">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外研社全国大学生英语系列赛-英语演讲、英语辩论、英语写作、英语阅读</w:t>
            </w:r>
          </w:p>
        </w:tc>
        <w:tc>
          <w:tcPr>
            <w:tcW w:w="4220" w:type="dxa"/>
            <w:tcBorders>
              <w:top w:val="single" w:color="000000" w:sz="4" w:space="0"/>
              <w:left w:val="single" w:color="000000" w:sz="4" w:space="0"/>
              <w:bottom w:val="single" w:color="000000" w:sz="4" w:space="0"/>
              <w:right w:val="single" w:color="000000" w:sz="4" w:space="0"/>
            </w:tcBorders>
            <w:vAlign w:val="center"/>
          </w:tcPr>
          <w:p w14:paraId="43D3419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外语教学与研究出版社、中国外语与教育研究中心</w:t>
            </w:r>
          </w:p>
        </w:tc>
        <w:tc>
          <w:tcPr>
            <w:tcW w:w="1160" w:type="dxa"/>
            <w:vMerge w:val="continue"/>
            <w:tcBorders>
              <w:left w:val="single" w:color="000000" w:sz="4" w:space="0"/>
              <w:right w:val="single" w:color="000000" w:sz="4" w:space="0"/>
            </w:tcBorders>
            <w:vAlign w:val="center"/>
          </w:tcPr>
          <w:p w14:paraId="5AE818F5">
            <w:pPr>
              <w:jc w:val="center"/>
              <w:rPr>
                <w:rFonts w:hint="eastAsia" w:asciiTheme="minorEastAsia" w:hAnsiTheme="minorEastAsia" w:eastAsiaTheme="minorEastAsia" w:cstheme="minorEastAsia"/>
                <w:color w:val="auto"/>
                <w:sz w:val="22"/>
                <w:szCs w:val="22"/>
              </w:rPr>
            </w:pPr>
          </w:p>
        </w:tc>
      </w:tr>
      <w:tr w14:paraId="19DE87C4">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08531BE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highlight w:val="none"/>
                <w:lang w:val="en-US" w:eastAsia="zh-CN" w:bidi="ar"/>
                <w:woUserID w:val="2"/>
              </w:rPr>
            </w:pPr>
            <w:r>
              <w:rPr>
                <w:rFonts w:hint="eastAsia" w:asciiTheme="minorEastAsia" w:hAnsiTheme="minorEastAsia" w:eastAsiaTheme="minorEastAsia" w:cstheme="minorEastAsia"/>
                <w:color w:val="auto"/>
                <w:sz w:val="22"/>
                <w:szCs w:val="22"/>
                <w:highlight w:val="none"/>
                <w:lang w:val="en-US" w:eastAsia="zh-CN" w:bidi="ar"/>
                <w:woUserID w:val="2"/>
              </w:rPr>
              <w:t>18</w:t>
            </w:r>
          </w:p>
        </w:tc>
        <w:tc>
          <w:tcPr>
            <w:tcW w:w="4180" w:type="dxa"/>
            <w:tcBorders>
              <w:top w:val="single" w:color="000000" w:sz="4" w:space="0"/>
              <w:left w:val="single" w:color="000000" w:sz="4" w:space="0"/>
              <w:bottom w:val="single" w:color="000000" w:sz="4" w:space="0"/>
              <w:right w:val="single" w:color="000000" w:sz="4" w:space="0"/>
            </w:tcBorders>
            <w:vAlign w:val="center"/>
          </w:tcPr>
          <w:p w14:paraId="720B377A">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kern w:val="0"/>
                <w:sz w:val="22"/>
                <w:szCs w:val="22"/>
                <w:highlight w:val="none"/>
                <w:lang w:bidi="ar"/>
                <w:woUserID w:val="2"/>
              </w:rPr>
            </w:pPr>
            <w:r>
              <w:rPr>
                <w:rFonts w:hint="eastAsia" w:asciiTheme="minorEastAsia" w:hAnsiTheme="minorEastAsia" w:eastAsiaTheme="minorEastAsia" w:cstheme="minorEastAsia"/>
                <w:color w:val="auto"/>
                <w:sz w:val="22"/>
                <w:szCs w:val="22"/>
                <w:highlight w:val="none"/>
                <w:lang w:bidi="ar"/>
                <w:woUserID w:val="2"/>
              </w:rPr>
              <w:t>一带一路暨金砖国家技能发展与技术创新大赛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11DB6AE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lang w:bidi="ar"/>
                <w:woUserID w:val="2"/>
              </w:rPr>
            </w:pPr>
            <w:r>
              <w:rPr>
                <w:rFonts w:hint="eastAsia" w:asciiTheme="minorEastAsia" w:hAnsiTheme="minorEastAsia" w:eastAsiaTheme="minorEastAsia" w:cstheme="minorEastAsia"/>
                <w:color w:val="auto"/>
                <w:sz w:val="22"/>
                <w:szCs w:val="22"/>
                <w:lang w:bidi="ar"/>
                <w:woUserID w:val="2"/>
              </w:rPr>
              <w:t>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金砖国家工商理事会中方理事会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一带一路暨金砖国家技能发展国际联盟</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一带一路暨金砖国家技能发展与技术创新培训中心</w:t>
            </w:r>
          </w:p>
          <w:p w14:paraId="174B9CD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woUserID w:val="2"/>
              </w:rPr>
            </w:pPr>
            <w:r>
              <w:rPr>
                <w:rFonts w:hint="eastAsia" w:asciiTheme="minorEastAsia" w:hAnsiTheme="minorEastAsia" w:eastAsiaTheme="minorEastAsia" w:cstheme="minorEastAsia"/>
                <w:color w:val="auto"/>
                <w:sz w:val="22"/>
                <w:szCs w:val="22"/>
                <w:lang w:bidi="ar"/>
                <w:woUserID w:val="2"/>
              </w:rPr>
              <w:t>联合主办单位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中国发明协会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教育部中外人文交流中心</w:t>
            </w:r>
          </w:p>
        </w:tc>
        <w:tc>
          <w:tcPr>
            <w:tcW w:w="1160" w:type="dxa"/>
            <w:vMerge w:val="continue"/>
            <w:tcBorders>
              <w:left w:val="single" w:color="000000" w:sz="4" w:space="0"/>
              <w:right w:val="single" w:color="000000" w:sz="4" w:space="0"/>
            </w:tcBorders>
            <w:vAlign w:val="center"/>
          </w:tcPr>
          <w:p w14:paraId="34CB910D">
            <w:pPr>
              <w:jc w:val="center"/>
              <w:rPr>
                <w:rFonts w:hint="eastAsia" w:asciiTheme="minorEastAsia" w:hAnsiTheme="minorEastAsia" w:eastAsiaTheme="minorEastAsia" w:cstheme="minorEastAsia"/>
                <w:color w:val="auto"/>
                <w:sz w:val="22"/>
                <w:szCs w:val="22"/>
                <w:highlight w:val="none"/>
                <w:woUserID w:val="2"/>
              </w:rPr>
            </w:pPr>
          </w:p>
        </w:tc>
      </w:tr>
      <w:tr w14:paraId="1442CB57">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552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19</w:t>
            </w:r>
          </w:p>
        </w:tc>
        <w:tc>
          <w:tcPr>
            <w:tcW w:w="4180" w:type="dxa"/>
            <w:tcBorders>
              <w:top w:val="single" w:color="000000" w:sz="4" w:space="0"/>
              <w:left w:val="single" w:color="000000" w:sz="4" w:space="0"/>
              <w:bottom w:val="single" w:color="000000" w:sz="4" w:space="0"/>
              <w:right w:val="single" w:color="000000" w:sz="4" w:space="0"/>
            </w:tcBorders>
            <w:vAlign w:val="center"/>
          </w:tcPr>
          <w:p w14:paraId="6EA8F735">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woUserID w:val="2"/>
              </w:rPr>
            </w:pPr>
            <w:r>
              <w:rPr>
                <w:rFonts w:hint="eastAsia" w:asciiTheme="minorEastAsia" w:hAnsiTheme="minorEastAsia" w:eastAsiaTheme="minorEastAsia" w:cstheme="minorEastAsia"/>
                <w:color w:val="auto"/>
                <w:sz w:val="22"/>
                <w:szCs w:val="22"/>
                <w:highlight w:val="none"/>
                <w:lang w:bidi="ar"/>
                <w:woUserID w:val="2"/>
              </w:rPr>
              <w:t>金砖国家职业技能大赛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6202E6B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woUserID w:val="2"/>
              </w:rPr>
            </w:pPr>
            <w:r>
              <w:rPr>
                <w:rFonts w:hint="eastAsia" w:asciiTheme="minorEastAsia" w:hAnsiTheme="minorEastAsia" w:eastAsiaTheme="minorEastAsia" w:cstheme="minorEastAsia"/>
                <w:color w:val="auto"/>
                <w:sz w:val="22"/>
                <w:szCs w:val="22"/>
                <w:highlight w:val="none"/>
                <w:lang w:val="en-US" w:eastAsia="zh-CN" w:bidi="ar"/>
                <w:woUserID w:val="2"/>
              </w:rPr>
              <w:t>教育部</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人力资源和社会保障部</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金砖国家工商理事会</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厦门市人民政府</w:t>
            </w:r>
          </w:p>
        </w:tc>
        <w:tc>
          <w:tcPr>
            <w:tcW w:w="1160" w:type="dxa"/>
            <w:vMerge w:val="continue"/>
            <w:tcBorders>
              <w:left w:val="single" w:color="000000" w:sz="4" w:space="0"/>
              <w:right w:val="single" w:color="000000" w:sz="4" w:space="0"/>
            </w:tcBorders>
            <w:vAlign w:val="center"/>
          </w:tcPr>
          <w:p w14:paraId="5F5C8599">
            <w:pPr>
              <w:ind w:left="0" w:leftChars="0" w:firstLine="0" w:firstLineChars="0"/>
              <w:jc w:val="center"/>
              <w:rPr>
                <w:rFonts w:hint="eastAsia" w:asciiTheme="minorEastAsia" w:hAnsiTheme="minorEastAsia" w:eastAsiaTheme="minorEastAsia" w:cstheme="minorEastAsia"/>
                <w:color w:val="auto"/>
                <w:sz w:val="22"/>
                <w:szCs w:val="22"/>
                <w:highlight w:val="none"/>
                <w:woUserID w:val="2"/>
              </w:rPr>
            </w:pPr>
          </w:p>
        </w:tc>
      </w:tr>
      <w:tr w14:paraId="29A56518">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7148">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lang w:val="en-US" w:eastAsia="zh-CN"/>
              </w:rPr>
              <w:t>20</w:t>
            </w:r>
          </w:p>
        </w:tc>
        <w:tc>
          <w:tcPr>
            <w:tcW w:w="4180" w:type="dxa"/>
            <w:tcBorders>
              <w:top w:val="single" w:color="000000" w:sz="4" w:space="0"/>
              <w:left w:val="single" w:color="000000" w:sz="4" w:space="0"/>
              <w:bottom w:val="single" w:color="000000" w:sz="4" w:space="0"/>
              <w:right w:val="single" w:color="000000" w:sz="4" w:space="0"/>
            </w:tcBorders>
            <w:vAlign w:val="center"/>
          </w:tcPr>
          <w:p w14:paraId="5F64B68D">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中华职业教育创新创业大赛</w:t>
            </w:r>
          </w:p>
        </w:tc>
        <w:tc>
          <w:tcPr>
            <w:tcW w:w="4220" w:type="dxa"/>
            <w:tcBorders>
              <w:top w:val="single" w:color="000000" w:sz="4" w:space="0"/>
              <w:left w:val="single" w:color="000000" w:sz="4" w:space="0"/>
              <w:bottom w:val="single" w:color="000000" w:sz="4" w:space="0"/>
              <w:right w:val="single" w:color="000000" w:sz="4" w:space="0"/>
            </w:tcBorders>
            <w:vAlign w:val="center"/>
          </w:tcPr>
          <w:p w14:paraId="222ED367">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val="en-US" w:eastAsia="zh-CN" w:bidi="ar"/>
                <w:woUserID w:val="2"/>
              </w:rPr>
            </w:pPr>
            <w:r>
              <w:rPr>
                <w:rFonts w:hint="eastAsia" w:asciiTheme="minorEastAsia" w:hAnsiTheme="minorEastAsia" w:eastAsiaTheme="minorEastAsia" w:cstheme="minorEastAsia"/>
                <w:color w:val="auto"/>
                <w:sz w:val="22"/>
                <w:szCs w:val="22"/>
                <w:highlight w:val="none"/>
                <w:lang w:val="en-US" w:eastAsia="zh-CN" w:bidi="ar"/>
                <w:woUserID w:val="2"/>
              </w:rPr>
              <w:t>中华职业教育社</w:t>
            </w:r>
          </w:p>
        </w:tc>
        <w:tc>
          <w:tcPr>
            <w:tcW w:w="1160" w:type="dxa"/>
            <w:vMerge w:val="continue"/>
            <w:tcBorders>
              <w:left w:val="single" w:color="000000" w:sz="4" w:space="0"/>
              <w:right w:val="single" w:color="000000" w:sz="4" w:space="0"/>
            </w:tcBorders>
            <w:vAlign w:val="center"/>
          </w:tcPr>
          <w:p w14:paraId="29BFA6C2">
            <w:pPr>
              <w:jc w:val="center"/>
              <w:rPr>
                <w:rFonts w:hint="eastAsia" w:asciiTheme="minorEastAsia" w:hAnsiTheme="minorEastAsia" w:eastAsiaTheme="minorEastAsia" w:cstheme="minorEastAsia"/>
                <w:color w:val="auto"/>
                <w:sz w:val="22"/>
                <w:szCs w:val="22"/>
                <w:highlight w:val="none"/>
              </w:rPr>
            </w:pPr>
          </w:p>
        </w:tc>
      </w:tr>
      <w:tr w14:paraId="292BBCAA">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752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2"/>
                <w:szCs w:val="22"/>
                <w:highlight w:val="none"/>
                <w:lang w:val="en-US" w:eastAsia="zh-CN" w:bidi="ar-SA"/>
              </w:rPr>
            </w:pPr>
            <w:r>
              <w:rPr>
                <w:rFonts w:hint="eastAsia" w:asciiTheme="minorEastAsia" w:hAnsiTheme="minorEastAsia" w:eastAsiaTheme="minorEastAsia" w:cstheme="minorEastAsia"/>
                <w:color w:val="auto"/>
                <w:sz w:val="22"/>
                <w:szCs w:val="22"/>
                <w:highlight w:val="none"/>
              </w:rPr>
              <w:t>21</w:t>
            </w:r>
          </w:p>
        </w:tc>
        <w:tc>
          <w:tcPr>
            <w:tcW w:w="4180" w:type="dxa"/>
            <w:tcBorders>
              <w:top w:val="single" w:color="000000" w:sz="4" w:space="0"/>
              <w:left w:val="single" w:color="000000" w:sz="4" w:space="0"/>
              <w:bottom w:val="single" w:color="000000" w:sz="4" w:space="0"/>
              <w:right w:val="single" w:color="000000" w:sz="4" w:space="0"/>
            </w:tcBorders>
            <w:vAlign w:val="center"/>
          </w:tcPr>
          <w:p w14:paraId="6B75CAD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全国（河北省）高校大学生微电影展示活动、全国（河北省）大学生讲思政课公开展示活动</w:t>
            </w:r>
          </w:p>
        </w:tc>
        <w:tc>
          <w:tcPr>
            <w:tcW w:w="4220" w:type="dxa"/>
            <w:tcBorders>
              <w:top w:val="single" w:color="000000" w:sz="4" w:space="0"/>
              <w:left w:val="single" w:color="000000" w:sz="4" w:space="0"/>
              <w:bottom w:val="single" w:color="000000" w:sz="4" w:space="0"/>
              <w:right w:val="single" w:color="000000" w:sz="4" w:space="0"/>
            </w:tcBorders>
            <w:vAlign w:val="center"/>
          </w:tcPr>
          <w:p w14:paraId="172C1DC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教育部高校思想政治理论课教学指导委员会</w:t>
            </w:r>
          </w:p>
        </w:tc>
        <w:tc>
          <w:tcPr>
            <w:tcW w:w="1160" w:type="dxa"/>
            <w:vMerge w:val="continue"/>
            <w:tcBorders>
              <w:left w:val="single" w:color="000000" w:sz="4" w:space="0"/>
              <w:right w:val="single" w:color="000000" w:sz="4" w:space="0"/>
            </w:tcBorders>
            <w:vAlign w:val="center"/>
          </w:tcPr>
          <w:p w14:paraId="3CD4AF14">
            <w:pPr>
              <w:jc w:val="center"/>
              <w:rPr>
                <w:rFonts w:hint="eastAsia" w:asciiTheme="minorEastAsia" w:hAnsiTheme="minorEastAsia" w:eastAsiaTheme="minorEastAsia" w:cstheme="minorEastAsia"/>
                <w:color w:val="auto"/>
                <w:sz w:val="22"/>
                <w:szCs w:val="22"/>
                <w:highlight w:val="none"/>
              </w:rPr>
            </w:pPr>
          </w:p>
        </w:tc>
      </w:tr>
      <w:tr w14:paraId="5B221AB4">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D2F5">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rPr>
              <w:t>22</w:t>
            </w:r>
          </w:p>
        </w:tc>
        <w:tc>
          <w:tcPr>
            <w:tcW w:w="4180" w:type="dxa"/>
            <w:tcBorders>
              <w:top w:val="single" w:color="000000" w:sz="4" w:space="0"/>
              <w:left w:val="single" w:color="000000" w:sz="4" w:space="0"/>
              <w:bottom w:val="single" w:color="000000" w:sz="4" w:space="0"/>
              <w:right w:val="single" w:color="000000" w:sz="4" w:space="0"/>
            </w:tcBorders>
            <w:vAlign w:val="center"/>
          </w:tcPr>
          <w:p w14:paraId="2043E671">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bidi="ar"/>
              </w:rPr>
            </w:pPr>
            <w:r>
              <w:rPr>
                <w:rFonts w:hint="eastAsia" w:asciiTheme="minorEastAsia" w:hAnsiTheme="minorEastAsia" w:eastAsiaTheme="minorEastAsia" w:cstheme="minorEastAsia"/>
                <w:snapToGrid w:val="0"/>
                <w:color w:val="auto"/>
                <w:sz w:val="22"/>
                <w:szCs w:val="22"/>
                <w:highlight w:val="none"/>
                <w:lang w:bidi="ar"/>
              </w:rPr>
              <w:t>中国学生体育联合会协办的奥运项目赛事</w:t>
            </w:r>
          </w:p>
        </w:tc>
        <w:tc>
          <w:tcPr>
            <w:tcW w:w="4220" w:type="dxa"/>
            <w:tcBorders>
              <w:top w:val="single" w:color="000000" w:sz="4" w:space="0"/>
              <w:left w:val="single" w:color="000000" w:sz="4" w:space="0"/>
              <w:bottom w:val="single" w:color="000000" w:sz="4" w:space="0"/>
              <w:right w:val="single" w:color="000000" w:sz="4" w:space="0"/>
            </w:tcBorders>
            <w:vAlign w:val="center"/>
          </w:tcPr>
          <w:p w14:paraId="13439190">
            <w:pPr>
              <w:keepNext w:val="0"/>
              <w:keepLines w:val="0"/>
              <w:pageBreakBefore w:val="0"/>
              <w:widowControl w:val="0"/>
              <w:kinsoku/>
              <w:wordWrap/>
              <w:overflowPunct/>
              <w:topLinePunct w:val="0"/>
              <w:autoSpaceDE/>
              <w:autoSpaceDN/>
              <w:bidi w:val="0"/>
              <w:adjustRightInd/>
              <w:snapToGrid/>
              <w:jc w:val="both"/>
              <w:textAlignment w:val="auto"/>
              <w:rPr>
                <w:rFonts w:hint="eastAsia" w:asciiTheme="minorEastAsia" w:hAnsiTheme="minorEastAsia" w:eastAsiaTheme="minorEastAsia" w:cstheme="minorEastAsia"/>
                <w:snapToGrid w:val="0"/>
                <w:color w:val="auto"/>
                <w:sz w:val="22"/>
                <w:szCs w:val="22"/>
                <w:highlight w:val="none"/>
                <w:lang w:eastAsia="zh" w:bidi="ar"/>
                <w:woUserID w:val="3"/>
              </w:rPr>
            </w:pPr>
            <w:r>
              <w:rPr>
                <w:rFonts w:hint="eastAsia" w:asciiTheme="minorEastAsia" w:hAnsiTheme="minorEastAsia" w:eastAsiaTheme="minorEastAsia" w:cstheme="minorEastAsia"/>
                <w:snapToGrid w:val="0"/>
                <w:color w:val="auto"/>
                <w:sz w:val="22"/>
                <w:szCs w:val="22"/>
                <w:highlight w:val="none"/>
                <w:lang w:eastAsia="zh" w:bidi="ar"/>
                <w:woUserID w:val="3"/>
              </w:rPr>
              <w:t>中</w:t>
            </w:r>
            <w:r>
              <w:rPr>
                <w:rFonts w:hint="eastAsia" w:asciiTheme="minorEastAsia" w:hAnsiTheme="minorEastAsia" w:eastAsiaTheme="minorEastAsia" w:cstheme="minorEastAsia"/>
                <w:snapToGrid w:val="0"/>
                <w:color w:val="auto"/>
                <w:sz w:val="22"/>
                <w:szCs w:val="22"/>
                <w:highlight w:val="none"/>
                <w:lang w:bidi="ar"/>
              </w:rPr>
              <w:t>国大学生体育协会</w:t>
            </w:r>
          </w:p>
        </w:tc>
        <w:tc>
          <w:tcPr>
            <w:tcW w:w="1160" w:type="dxa"/>
            <w:vMerge w:val="continue"/>
            <w:tcBorders>
              <w:left w:val="single" w:color="000000" w:sz="4" w:space="0"/>
              <w:right w:val="single" w:color="000000" w:sz="4" w:space="0"/>
            </w:tcBorders>
            <w:vAlign w:val="center"/>
          </w:tcPr>
          <w:p w14:paraId="542F19D8">
            <w:pPr>
              <w:jc w:val="center"/>
              <w:rPr>
                <w:rFonts w:hint="eastAsia" w:asciiTheme="minorEastAsia" w:hAnsiTheme="minorEastAsia" w:eastAsiaTheme="minorEastAsia" w:cstheme="minorEastAsia"/>
                <w:color w:val="auto"/>
                <w:sz w:val="22"/>
                <w:szCs w:val="22"/>
                <w:highlight w:val="none"/>
              </w:rPr>
            </w:pPr>
          </w:p>
        </w:tc>
      </w:tr>
      <w:tr w14:paraId="6F383192">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2EAAE5FB">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23</w:t>
            </w:r>
          </w:p>
        </w:tc>
        <w:tc>
          <w:tcPr>
            <w:tcW w:w="8400" w:type="dxa"/>
            <w:gridSpan w:val="2"/>
            <w:tcBorders>
              <w:top w:val="single" w:color="000000" w:sz="4" w:space="0"/>
              <w:left w:val="single" w:color="000000" w:sz="4" w:space="0"/>
              <w:bottom w:val="single" w:color="000000" w:sz="4" w:space="0"/>
              <w:right w:val="single" w:color="000000" w:sz="4" w:space="0"/>
            </w:tcBorders>
            <w:vAlign w:val="center"/>
          </w:tcPr>
          <w:p w14:paraId="5236E0A6">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国</w:t>
            </w:r>
            <w:r>
              <w:rPr>
                <w:rFonts w:hint="eastAsia" w:asciiTheme="minorEastAsia" w:hAnsiTheme="minorEastAsia" w:eastAsiaTheme="minorEastAsia" w:cstheme="minorEastAsia"/>
                <w:color w:val="auto"/>
                <w:sz w:val="22"/>
                <w:szCs w:val="22"/>
                <w:lang w:bidi="ar"/>
              </w:rPr>
              <w:t>家级</w:t>
            </w:r>
            <w:r>
              <w:rPr>
                <w:rFonts w:hint="eastAsia" w:asciiTheme="minorEastAsia" w:hAnsiTheme="minorEastAsia" w:eastAsiaTheme="minorEastAsia" w:cstheme="minorEastAsia"/>
                <w:color w:val="auto"/>
                <w:sz w:val="22"/>
                <w:szCs w:val="22"/>
              </w:rPr>
              <w:t>A类大赛对应</w:t>
            </w:r>
            <w:r>
              <w:rPr>
                <w:rFonts w:hint="eastAsia" w:asciiTheme="minorEastAsia" w:hAnsiTheme="minorEastAsia" w:eastAsiaTheme="minorEastAsia" w:cstheme="minorEastAsia"/>
                <w:color w:val="auto"/>
                <w:sz w:val="22"/>
                <w:szCs w:val="22"/>
                <w:lang w:bidi="ar"/>
              </w:rPr>
              <w:t>省级比赛</w:t>
            </w:r>
          </w:p>
        </w:tc>
        <w:tc>
          <w:tcPr>
            <w:tcW w:w="1160" w:type="dxa"/>
            <w:tcBorders>
              <w:top w:val="single" w:color="000000" w:sz="4" w:space="0"/>
              <w:left w:val="single" w:color="000000" w:sz="4" w:space="0"/>
              <w:bottom w:val="single" w:color="000000" w:sz="4" w:space="0"/>
              <w:right w:val="single" w:color="000000" w:sz="4" w:space="0"/>
            </w:tcBorders>
            <w:vAlign w:val="center"/>
          </w:tcPr>
          <w:p w14:paraId="29B2F570">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省级A类</w:t>
            </w:r>
          </w:p>
        </w:tc>
      </w:tr>
      <w:tr w14:paraId="29AA3E1D">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354F781">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24</w:t>
            </w:r>
          </w:p>
        </w:tc>
        <w:tc>
          <w:tcPr>
            <w:tcW w:w="8400" w:type="dxa"/>
            <w:gridSpan w:val="2"/>
            <w:tcBorders>
              <w:top w:val="single" w:color="000000" w:sz="4" w:space="0"/>
              <w:left w:val="single" w:color="000000" w:sz="4" w:space="0"/>
              <w:bottom w:val="single" w:color="000000" w:sz="4" w:space="0"/>
              <w:right w:val="single" w:color="000000" w:sz="4" w:space="0"/>
            </w:tcBorders>
            <w:vAlign w:val="center"/>
          </w:tcPr>
          <w:p w14:paraId="772205D4">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国</w:t>
            </w:r>
            <w:r>
              <w:rPr>
                <w:rFonts w:hint="eastAsia" w:asciiTheme="minorEastAsia" w:hAnsiTheme="minorEastAsia" w:eastAsiaTheme="minorEastAsia" w:cstheme="minorEastAsia"/>
                <w:color w:val="auto"/>
                <w:sz w:val="22"/>
                <w:szCs w:val="22"/>
                <w:lang w:bidi="ar"/>
              </w:rPr>
              <w:t>家级</w:t>
            </w:r>
            <w:r>
              <w:rPr>
                <w:rFonts w:hint="eastAsia" w:asciiTheme="minorEastAsia" w:hAnsiTheme="minorEastAsia" w:eastAsiaTheme="minorEastAsia" w:cstheme="minorEastAsia"/>
                <w:color w:val="auto"/>
                <w:sz w:val="22"/>
                <w:szCs w:val="22"/>
              </w:rPr>
              <w:t>B类大赛对应</w:t>
            </w:r>
            <w:r>
              <w:rPr>
                <w:rFonts w:hint="eastAsia" w:asciiTheme="minorEastAsia" w:hAnsiTheme="minorEastAsia" w:eastAsiaTheme="minorEastAsia" w:cstheme="minorEastAsia"/>
                <w:color w:val="auto"/>
                <w:sz w:val="22"/>
                <w:szCs w:val="22"/>
                <w:lang w:bidi="ar"/>
              </w:rPr>
              <w:t>省级比赛</w:t>
            </w:r>
          </w:p>
        </w:tc>
        <w:tc>
          <w:tcPr>
            <w:tcW w:w="1160" w:type="dxa"/>
            <w:tcBorders>
              <w:top w:val="single" w:color="000000" w:sz="4" w:space="0"/>
              <w:left w:val="single" w:color="000000" w:sz="4" w:space="0"/>
              <w:bottom w:val="single" w:color="000000" w:sz="4" w:space="0"/>
              <w:right w:val="single" w:color="000000" w:sz="4" w:space="0"/>
            </w:tcBorders>
            <w:vAlign w:val="center"/>
          </w:tcPr>
          <w:p w14:paraId="784CE923">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省级B类</w:t>
            </w:r>
          </w:p>
        </w:tc>
      </w:tr>
      <w:tr w14:paraId="2A75BDDC">
        <w:tblPrEx>
          <w:tblCellMar>
            <w:top w:w="0" w:type="dxa"/>
            <w:left w:w="108" w:type="dxa"/>
            <w:bottom w:w="0" w:type="dxa"/>
            <w:right w:w="108" w:type="dxa"/>
          </w:tblCellMar>
        </w:tblPrEx>
        <w:trPr>
          <w:trHeight w:val="23" w:hRule="atLeast"/>
          <w:jc w:val="center"/>
        </w:trPr>
        <w:tc>
          <w:tcPr>
            <w:tcW w:w="690" w:type="dxa"/>
            <w:tcBorders>
              <w:top w:val="single" w:color="000000" w:sz="4" w:space="0"/>
              <w:left w:val="single" w:color="000000" w:sz="4" w:space="0"/>
              <w:bottom w:val="single" w:color="000000" w:sz="4" w:space="0"/>
              <w:right w:val="single" w:color="000000" w:sz="4" w:space="0"/>
            </w:tcBorders>
            <w:vAlign w:val="center"/>
          </w:tcPr>
          <w:p w14:paraId="5ADAE3D9">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lang w:val="en-US" w:eastAsia="zh-CN"/>
              </w:rPr>
            </w:pPr>
            <w:r>
              <w:rPr>
                <w:rFonts w:hint="eastAsia" w:asciiTheme="minorEastAsia" w:hAnsiTheme="minorEastAsia" w:eastAsiaTheme="minorEastAsia" w:cstheme="minorEastAsia"/>
                <w:color w:val="auto"/>
                <w:sz w:val="22"/>
                <w:szCs w:val="22"/>
                <w:lang w:val="en-US" w:eastAsia="zh-CN"/>
              </w:rPr>
              <w:t>25</w:t>
            </w:r>
          </w:p>
        </w:tc>
        <w:tc>
          <w:tcPr>
            <w:tcW w:w="8400" w:type="dxa"/>
            <w:gridSpan w:val="2"/>
            <w:tcBorders>
              <w:top w:val="single" w:color="000000" w:sz="4" w:space="0"/>
              <w:left w:val="single" w:color="000000" w:sz="4" w:space="0"/>
              <w:bottom w:val="single" w:color="000000" w:sz="4" w:space="0"/>
              <w:right w:val="single" w:color="000000" w:sz="4" w:space="0"/>
            </w:tcBorders>
            <w:vAlign w:val="center"/>
          </w:tcPr>
          <w:p w14:paraId="21EA5337">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国家级C类大赛对应省级比赛</w:t>
            </w:r>
          </w:p>
        </w:tc>
        <w:tc>
          <w:tcPr>
            <w:tcW w:w="1160" w:type="dxa"/>
            <w:tcBorders>
              <w:top w:val="single" w:color="000000" w:sz="4" w:space="0"/>
              <w:left w:val="single" w:color="000000" w:sz="4" w:space="0"/>
              <w:bottom w:val="single" w:color="000000" w:sz="4" w:space="0"/>
              <w:right w:val="single" w:color="000000" w:sz="4" w:space="0"/>
            </w:tcBorders>
            <w:vAlign w:val="center"/>
          </w:tcPr>
          <w:p w14:paraId="24D4F527">
            <w:pPr>
              <w:jc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省级C类</w:t>
            </w:r>
          </w:p>
        </w:tc>
      </w:tr>
    </w:tbl>
    <w:p w14:paraId="28AE0B1B">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hint="eastAsia" w:ascii="黑体" w:hAnsi="黑体" w:eastAsia="黑体" w:cs="黑体"/>
          <w:color w:val="auto"/>
          <w:sz w:val="24"/>
          <w:szCs w:val="28"/>
        </w:rPr>
      </w:pPr>
      <w:r>
        <w:rPr>
          <w:rFonts w:hint="eastAsia" w:ascii="黑体" w:hAnsi="黑体" w:eastAsia="黑体" w:cs="黑体"/>
          <w:color w:val="auto"/>
          <w:sz w:val="24"/>
          <w:szCs w:val="28"/>
        </w:rPr>
        <w:br w:type="page"/>
      </w:r>
    </w:p>
    <w:tbl>
      <w:tblPr>
        <w:tblStyle w:val="4"/>
        <w:tblW w:w="10025" w:type="dxa"/>
        <w:jc w:val="center"/>
        <w:tblLayout w:type="autofit"/>
        <w:tblCellMar>
          <w:top w:w="0" w:type="dxa"/>
          <w:left w:w="108" w:type="dxa"/>
          <w:bottom w:w="0" w:type="dxa"/>
          <w:right w:w="108" w:type="dxa"/>
        </w:tblCellMar>
      </w:tblPr>
      <w:tblGrid>
        <w:gridCol w:w="720"/>
        <w:gridCol w:w="4069"/>
        <w:gridCol w:w="3949"/>
        <w:gridCol w:w="1287"/>
      </w:tblGrid>
      <w:tr w14:paraId="0845D2EC">
        <w:tblPrEx>
          <w:tblCellMar>
            <w:top w:w="0" w:type="dxa"/>
            <w:left w:w="108" w:type="dxa"/>
            <w:bottom w:w="0" w:type="dxa"/>
            <w:right w:w="108" w:type="dxa"/>
          </w:tblCellMar>
        </w:tblPrEx>
        <w:trPr>
          <w:trHeight w:val="720" w:hRule="atLeast"/>
          <w:jc w:val="center"/>
        </w:trPr>
        <w:tc>
          <w:tcPr>
            <w:tcW w:w="10025" w:type="dxa"/>
            <w:gridSpan w:val="4"/>
            <w:tcBorders>
              <w:top w:val="nil"/>
              <w:left w:val="nil"/>
              <w:bottom w:val="nil"/>
              <w:right w:val="nil"/>
            </w:tcBorders>
            <w:vAlign w:val="center"/>
          </w:tcPr>
          <w:p w14:paraId="711B7309">
            <w:pPr>
              <w:keepNext w:val="0"/>
              <w:keepLines w:val="0"/>
              <w:pageBreakBefore w:val="0"/>
              <w:widowControl w:val="0"/>
              <w:kinsoku/>
              <w:wordWrap/>
              <w:overflowPunct/>
              <w:topLinePunct w:val="0"/>
              <w:bidi w:val="0"/>
              <w:adjustRightInd/>
              <w:snapToGrid/>
              <w:textAlignment w:val="center"/>
              <w:rPr>
                <w:rFonts w:ascii="黑体" w:hAnsi="黑体" w:eastAsia="黑体" w:cs="黑体"/>
                <w:color w:val="auto"/>
                <w:sz w:val="24"/>
                <w:szCs w:val="28"/>
              </w:rPr>
            </w:pPr>
            <w:r>
              <w:rPr>
                <w:rFonts w:hint="eastAsia" w:ascii="黑体" w:hAnsi="黑体" w:eastAsia="黑体" w:cs="黑体"/>
                <w:color w:val="auto"/>
                <w:sz w:val="24"/>
                <w:szCs w:val="28"/>
              </w:rPr>
              <w:t>附录3</w:t>
            </w:r>
          </w:p>
          <w:p w14:paraId="3BDD9EA1">
            <w:pPr>
              <w:keepNext w:val="0"/>
              <w:keepLines w:val="0"/>
              <w:pageBreakBefore w:val="0"/>
              <w:widowControl w:val="0"/>
              <w:kinsoku/>
              <w:wordWrap/>
              <w:overflowPunct/>
              <w:topLinePunct w:val="0"/>
              <w:bidi w:val="0"/>
              <w:adjustRightInd/>
              <w:snapToGrid/>
              <w:jc w:val="center"/>
              <w:textAlignment w:val="center"/>
              <w:rPr>
                <w:rFonts w:eastAsia="方正小标宋简体"/>
                <w:b/>
                <w:bCs/>
                <w:color w:val="auto"/>
                <w:sz w:val="32"/>
                <w:szCs w:val="32"/>
              </w:rPr>
            </w:pPr>
            <w:r>
              <w:rPr>
                <w:rFonts w:hint="eastAsia" w:ascii="方正小标宋简体" w:hAnsi="方正小标宋简体" w:eastAsia="方正小标宋简体" w:cs="方正小标宋简体"/>
                <w:color w:val="auto"/>
                <w:sz w:val="32"/>
                <w:szCs w:val="32"/>
                <w:lang w:bidi="ar"/>
              </w:rPr>
              <w:t>教师参加比赛赛项目录</w:t>
            </w:r>
          </w:p>
        </w:tc>
      </w:tr>
      <w:tr w14:paraId="6C26DADF">
        <w:tblPrEx>
          <w:tblCellMar>
            <w:top w:w="0" w:type="dxa"/>
            <w:left w:w="108" w:type="dxa"/>
            <w:bottom w:w="0" w:type="dxa"/>
            <w:right w:w="108" w:type="dxa"/>
          </w:tblCellMar>
        </w:tblPrEx>
        <w:trPr>
          <w:trHeight w:val="39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417A7D71">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序号</w:t>
            </w:r>
          </w:p>
        </w:tc>
        <w:tc>
          <w:tcPr>
            <w:tcW w:w="4069" w:type="dxa"/>
            <w:tcBorders>
              <w:top w:val="single" w:color="000000" w:sz="4" w:space="0"/>
              <w:left w:val="single" w:color="000000" w:sz="4" w:space="0"/>
              <w:bottom w:val="single" w:color="000000" w:sz="4" w:space="0"/>
              <w:right w:val="single" w:color="000000" w:sz="4" w:space="0"/>
            </w:tcBorders>
            <w:vAlign w:val="center"/>
          </w:tcPr>
          <w:p w14:paraId="5007FA37">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赛项名称</w:t>
            </w:r>
          </w:p>
        </w:tc>
        <w:tc>
          <w:tcPr>
            <w:tcW w:w="3949" w:type="dxa"/>
            <w:tcBorders>
              <w:top w:val="single" w:color="000000" w:sz="4" w:space="0"/>
              <w:left w:val="single" w:color="000000" w:sz="4" w:space="0"/>
              <w:bottom w:val="single" w:color="000000" w:sz="4" w:space="0"/>
              <w:right w:val="single" w:color="000000" w:sz="4" w:space="0"/>
            </w:tcBorders>
            <w:vAlign w:val="center"/>
          </w:tcPr>
          <w:p w14:paraId="13D99463">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主办单位</w:t>
            </w:r>
          </w:p>
        </w:tc>
        <w:tc>
          <w:tcPr>
            <w:tcW w:w="1287" w:type="dxa"/>
            <w:tcBorders>
              <w:top w:val="single" w:color="000000" w:sz="4" w:space="0"/>
              <w:left w:val="single" w:color="000000" w:sz="4" w:space="0"/>
              <w:bottom w:val="single" w:color="000000" w:sz="4" w:space="0"/>
              <w:right w:val="single" w:color="000000" w:sz="4" w:space="0"/>
            </w:tcBorders>
            <w:vAlign w:val="center"/>
          </w:tcPr>
          <w:p w14:paraId="2BF8D12D">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bidi="ar"/>
              </w:rPr>
              <w:t>认定级别</w:t>
            </w:r>
          </w:p>
        </w:tc>
      </w:tr>
      <w:tr w14:paraId="72C7CEA8">
        <w:tblPrEx>
          <w:tblCellMar>
            <w:top w:w="0" w:type="dxa"/>
            <w:left w:w="108" w:type="dxa"/>
            <w:bottom w:w="0" w:type="dxa"/>
            <w:right w:w="108" w:type="dxa"/>
          </w:tblCellMar>
        </w:tblPrEx>
        <w:trPr>
          <w:trHeight w:val="12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3956DD27">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1</w:t>
            </w:r>
          </w:p>
        </w:tc>
        <w:tc>
          <w:tcPr>
            <w:tcW w:w="4069" w:type="dxa"/>
            <w:tcBorders>
              <w:top w:val="single" w:color="000000" w:sz="4" w:space="0"/>
              <w:left w:val="single" w:color="000000" w:sz="4" w:space="0"/>
              <w:bottom w:val="single" w:color="000000" w:sz="4" w:space="0"/>
              <w:right w:val="single" w:color="000000" w:sz="4" w:space="0"/>
            </w:tcBorders>
            <w:vAlign w:val="center"/>
          </w:tcPr>
          <w:p w14:paraId="521ED1D0">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全国职业院校技能大赛教学能力比赛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1D41E47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bidi="ar"/>
                <w:woUserID w:val="2"/>
              </w:rPr>
              <w:t>教育部</w:t>
            </w:r>
          </w:p>
        </w:tc>
        <w:tc>
          <w:tcPr>
            <w:tcW w:w="1287" w:type="dxa"/>
            <w:vMerge w:val="restart"/>
            <w:tcBorders>
              <w:top w:val="single" w:color="000000" w:sz="4" w:space="0"/>
              <w:left w:val="single" w:color="000000" w:sz="4" w:space="0"/>
              <w:right w:val="single" w:color="000000" w:sz="4" w:space="0"/>
            </w:tcBorders>
            <w:vAlign w:val="center"/>
          </w:tcPr>
          <w:p w14:paraId="3503F372">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国家级A类</w:t>
            </w:r>
          </w:p>
        </w:tc>
      </w:tr>
      <w:tr w14:paraId="56B4A362">
        <w:tblPrEx>
          <w:tblCellMar>
            <w:top w:w="0" w:type="dxa"/>
            <w:left w:w="108" w:type="dxa"/>
            <w:bottom w:w="0" w:type="dxa"/>
            <w:right w:w="108" w:type="dxa"/>
          </w:tblCellMar>
        </w:tblPrEx>
        <w:trPr>
          <w:trHeight w:val="226"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14:paraId="6E57D72C">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2</w:t>
            </w:r>
          </w:p>
        </w:tc>
        <w:tc>
          <w:tcPr>
            <w:tcW w:w="4069" w:type="dxa"/>
            <w:tcBorders>
              <w:top w:val="single" w:color="000000" w:sz="4" w:space="0"/>
              <w:left w:val="single" w:color="000000" w:sz="4" w:space="0"/>
              <w:bottom w:val="single" w:color="000000" w:sz="4" w:space="0"/>
              <w:right w:val="single" w:color="000000" w:sz="4" w:space="0"/>
            </w:tcBorders>
            <w:vAlign w:val="center"/>
          </w:tcPr>
          <w:p w14:paraId="04F8F16B">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中华人民共和国职业技能大赛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3AC214C3">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eastAsia="zh"/>
                <w:woUserID w:val="2"/>
              </w:rPr>
            </w:pPr>
            <w:r>
              <w:rPr>
                <w:rFonts w:hint="eastAsia" w:asciiTheme="minorEastAsia" w:hAnsiTheme="minorEastAsia" w:eastAsiaTheme="minorEastAsia" w:cstheme="minorEastAsia"/>
                <w:color w:val="auto"/>
                <w:sz w:val="22"/>
                <w:szCs w:val="22"/>
                <w:lang w:bidi="ar"/>
              </w:rPr>
              <w:t>人力资源与社会保障部</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rPr>
              <w:t>独立举办</w:t>
            </w:r>
            <w:r>
              <w:rPr>
                <w:rFonts w:hint="eastAsia" w:asciiTheme="minorEastAsia" w:hAnsiTheme="minorEastAsia" w:eastAsiaTheme="minorEastAsia" w:cstheme="minorEastAsia"/>
                <w:color w:val="auto"/>
                <w:sz w:val="22"/>
                <w:szCs w:val="22"/>
                <w:lang w:eastAsia="zh" w:bidi="ar"/>
                <w:woUserID w:val="2"/>
              </w:rPr>
              <w:t>）</w:t>
            </w:r>
          </w:p>
        </w:tc>
        <w:tc>
          <w:tcPr>
            <w:tcW w:w="1287" w:type="dxa"/>
            <w:vMerge w:val="continue"/>
            <w:tcBorders>
              <w:left w:val="single" w:color="000000" w:sz="4" w:space="0"/>
              <w:right w:val="single" w:color="000000" w:sz="4" w:space="0"/>
            </w:tcBorders>
            <w:vAlign w:val="center"/>
          </w:tcPr>
          <w:p w14:paraId="0852043D">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7BC9C193">
        <w:tblPrEx>
          <w:tblCellMar>
            <w:top w:w="0" w:type="dxa"/>
            <w:left w:w="108" w:type="dxa"/>
            <w:bottom w:w="0" w:type="dxa"/>
            <w:right w:w="108" w:type="dxa"/>
          </w:tblCellMar>
        </w:tblPrEx>
        <w:trPr>
          <w:trHeight w:val="9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4442">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lang w:bidi="ar"/>
              </w:rPr>
              <w:t>3</w:t>
            </w:r>
          </w:p>
        </w:tc>
        <w:tc>
          <w:tcPr>
            <w:tcW w:w="4069" w:type="dxa"/>
            <w:tcBorders>
              <w:top w:val="single" w:color="000000" w:sz="4" w:space="0"/>
              <w:left w:val="single" w:color="000000" w:sz="4" w:space="0"/>
              <w:bottom w:val="single" w:color="000000" w:sz="4" w:space="0"/>
              <w:right w:val="single" w:color="000000" w:sz="4" w:space="0"/>
            </w:tcBorders>
            <w:vAlign w:val="center"/>
          </w:tcPr>
          <w:p w14:paraId="318C6888">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全国高校思想政治课教学展示</w:t>
            </w:r>
          </w:p>
        </w:tc>
        <w:tc>
          <w:tcPr>
            <w:tcW w:w="3949" w:type="dxa"/>
            <w:tcBorders>
              <w:top w:val="single" w:color="000000" w:sz="4" w:space="0"/>
              <w:left w:val="single" w:color="000000" w:sz="4" w:space="0"/>
              <w:bottom w:val="single" w:color="000000" w:sz="4" w:space="0"/>
              <w:right w:val="single" w:color="000000" w:sz="4" w:space="0"/>
            </w:tcBorders>
            <w:vAlign w:val="center"/>
          </w:tcPr>
          <w:p w14:paraId="0CC30EE1">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bidi="ar"/>
                <w:woUserID w:val="2"/>
              </w:rPr>
              <w:t>教育部</w:t>
            </w:r>
          </w:p>
        </w:tc>
        <w:tc>
          <w:tcPr>
            <w:tcW w:w="1287" w:type="dxa"/>
            <w:vMerge w:val="continue"/>
            <w:tcBorders>
              <w:left w:val="single" w:color="000000" w:sz="4" w:space="0"/>
              <w:bottom w:val="single" w:color="000000" w:sz="4" w:space="0"/>
              <w:right w:val="single" w:color="000000" w:sz="4" w:space="0"/>
            </w:tcBorders>
            <w:vAlign w:val="center"/>
          </w:tcPr>
          <w:p w14:paraId="46AA42A3">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07EE0E64">
        <w:tblPrEx>
          <w:tblCellMar>
            <w:top w:w="0" w:type="dxa"/>
            <w:left w:w="108" w:type="dxa"/>
            <w:bottom w:w="0" w:type="dxa"/>
            <w:right w:w="108" w:type="dxa"/>
          </w:tblCellMar>
        </w:tblPrEx>
        <w:trPr>
          <w:trHeight w:val="10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86B5B">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rPr>
              <w:t>4</w:t>
            </w:r>
          </w:p>
        </w:tc>
        <w:tc>
          <w:tcPr>
            <w:tcW w:w="4069" w:type="dxa"/>
            <w:tcBorders>
              <w:top w:val="single" w:color="000000" w:sz="4" w:space="0"/>
              <w:left w:val="single" w:color="000000" w:sz="4" w:space="0"/>
              <w:bottom w:val="single" w:color="000000" w:sz="4" w:space="0"/>
              <w:right w:val="single" w:color="000000" w:sz="4" w:space="0"/>
            </w:tcBorders>
            <w:vAlign w:val="center"/>
          </w:tcPr>
          <w:p w14:paraId="32D0EACD">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全国职业院校技能大赛（教师组）</w:t>
            </w:r>
          </w:p>
        </w:tc>
        <w:tc>
          <w:tcPr>
            <w:tcW w:w="3949" w:type="dxa"/>
            <w:tcBorders>
              <w:top w:val="single" w:color="000000" w:sz="4" w:space="0"/>
              <w:left w:val="single" w:color="000000" w:sz="4" w:space="0"/>
              <w:bottom w:val="single" w:color="000000" w:sz="4" w:space="0"/>
              <w:right w:val="single" w:color="000000" w:sz="4" w:space="0"/>
            </w:tcBorders>
            <w:vAlign w:val="center"/>
          </w:tcPr>
          <w:p w14:paraId="00E93DEE">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bidi="ar"/>
                <w:woUserID w:val="2"/>
              </w:rPr>
              <w:t>教育部</w:t>
            </w:r>
          </w:p>
        </w:tc>
        <w:tc>
          <w:tcPr>
            <w:tcW w:w="1287" w:type="dxa"/>
            <w:vMerge w:val="continue"/>
            <w:tcBorders>
              <w:left w:val="single" w:color="000000" w:sz="4" w:space="0"/>
              <w:bottom w:val="single" w:color="000000" w:sz="4" w:space="0"/>
              <w:right w:val="single" w:color="000000" w:sz="4" w:space="0"/>
            </w:tcBorders>
            <w:vAlign w:val="center"/>
          </w:tcPr>
          <w:p w14:paraId="479EBC1C">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37FAB456">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6D4A">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rPr>
              <w:t>5</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EADD">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全国高校辅导员素质能力大赛（仅限学生思想政治教育专业使用）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4777">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val="en-US" w:eastAsia="zh-CN" w:bidi="ar"/>
                <w:woUserID w:val="2"/>
              </w:rPr>
              <w:t>教育部</w:t>
            </w:r>
          </w:p>
        </w:tc>
        <w:tc>
          <w:tcPr>
            <w:tcW w:w="1287" w:type="dxa"/>
            <w:vMerge w:val="restart"/>
            <w:tcBorders>
              <w:left w:val="single" w:color="000000" w:sz="4" w:space="0"/>
              <w:right w:val="single" w:color="000000" w:sz="4" w:space="0"/>
            </w:tcBorders>
            <w:shd w:val="clear" w:color="auto" w:fill="auto"/>
            <w:vAlign w:val="center"/>
          </w:tcPr>
          <w:p w14:paraId="16DCB346">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国家级B类</w:t>
            </w:r>
          </w:p>
        </w:tc>
      </w:tr>
      <w:tr w14:paraId="0FDA81CD">
        <w:tblPrEx>
          <w:tblCellMar>
            <w:top w:w="0" w:type="dxa"/>
            <w:left w:w="108" w:type="dxa"/>
            <w:bottom w:w="0" w:type="dxa"/>
            <w:right w:w="108" w:type="dxa"/>
          </w:tblCellMar>
        </w:tblPrEx>
        <w:trPr>
          <w:trHeight w:val="16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B6CE">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sz w:val="22"/>
                <w:szCs w:val="22"/>
              </w:rPr>
              <w:t>6</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81CF">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kern w:val="2"/>
                <w:sz w:val="22"/>
                <w:szCs w:val="22"/>
                <w:lang w:val="en-US" w:eastAsia="zh-CN" w:bidi="ar"/>
              </w:rPr>
            </w:pPr>
            <w:r>
              <w:rPr>
                <w:rFonts w:hint="eastAsia" w:asciiTheme="minorEastAsia" w:hAnsiTheme="minorEastAsia" w:eastAsiaTheme="minorEastAsia" w:cstheme="minorEastAsia"/>
                <w:snapToGrid w:val="0"/>
                <w:color w:val="auto"/>
                <w:kern w:val="0"/>
                <w:sz w:val="22"/>
                <w:szCs w:val="22"/>
                <w:lang w:bidi="ar"/>
              </w:rPr>
              <w:t>中华经典诵写讲大赛</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6569">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kern w:val="2"/>
                <w:sz w:val="22"/>
                <w:szCs w:val="22"/>
                <w:lang w:val="en-US" w:eastAsia="zh" w:bidi="ar"/>
                <w:woUserID w:val="2"/>
              </w:rPr>
            </w:pPr>
            <w:r>
              <w:rPr>
                <w:rFonts w:hint="eastAsia" w:asciiTheme="minorEastAsia" w:hAnsiTheme="minorEastAsia" w:eastAsiaTheme="minorEastAsia" w:cstheme="minorEastAsia"/>
                <w:snapToGrid w:val="0"/>
                <w:color w:val="auto"/>
                <w:kern w:val="0"/>
                <w:sz w:val="22"/>
                <w:szCs w:val="22"/>
                <w:lang w:bidi="ar"/>
              </w:rPr>
              <w:t>教育部</w:t>
            </w:r>
            <w:r>
              <w:rPr>
                <w:rFonts w:hint="eastAsia" w:asciiTheme="minorEastAsia" w:hAnsiTheme="minorEastAsia" w:eastAsiaTheme="minorEastAsia" w:cstheme="minorEastAsia"/>
                <w:snapToGrid w:val="0"/>
                <w:color w:val="auto"/>
                <w:kern w:val="0"/>
                <w:sz w:val="22"/>
                <w:szCs w:val="22"/>
                <w:lang w:eastAsia="zh" w:bidi="ar"/>
                <w:woUserID w:val="2"/>
              </w:rPr>
              <w:t>、</w:t>
            </w:r>
            <w:r>
              <w:rPr>
                <w:rFonts w:hint="eastAsia" w:asciiTheme="majorEastAsia" w:hAnsiTheme="majorEastAsia" w:eastAsiaTheme="majorEastAsia" w:cstheme="majorEastAsia"/>
                <w:snapToGrid w:val="0"/>
                <w:color w:val="auto"/>
                <w:sz w:val="22"/>
                <w:szCs w:val="22"/>
                <w:highlight w:val="none"/>
                <w:lang w:bidi="ar"/>
              </w:rPr>
              <w:t>‌国家语言文字工作委员会</w:t>
            </w:r>
          </w:p>
        </w:tc>
        <w:tc>
          <w:tcPr>
            <w:tcW w:w="1287" w:type="dxa"/>
            <w:vMerge w:val="continue"/>
            <w:tcBorders>
              <w:left w:val="single" w:color="000000" w:sz="4" w:space="0"/>
              <w:right w:val="single" w:color="000000" w:sz="4" w:space="0"/>
            </w:tcBorders>
            <w:vAlign w:val="center"/>
          </w:tcPr>
          <w:p w14:paraId="0ED07683">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561CA304">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D17C">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CN" w:bidi="ar-SA"/>
              </w:rPr>
            </w:pPr>
            <w:r>
              <w:rPr>
                <w:rFonts w:hint="eastAsia" w:asciiTheme="minorEastAsia" w:hAnsiTheme="minorEastAsia" w:eastAsiaTheme="minorEastAsia" w:cstheme="minorEastAsia"/>
                <w:color w:val="auto"/>
                <w:kern w:val="2"/>
                <w:sz w:val="22"/>
                <w:szCs w:val="22"/>
                <w:lang w:val="en-US" w:eastAsia="zh-CN" w:bidi="ar-SA"/>
              </w:rPr>
              <w:t>7</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A8F3">
            <w:pPr>
              <w:jc w:val="both"/>
              <w:rPr>
                <w:rFonts w:hint="eastAsia" w:asciiTheme="minorEastAsia" w:hAnsiTheme="minorEastAsia" w:eastAsiaTheme="minorEastAsia" w:cstheme="minorEastAsia"/>
                <w:snapToGrid w:val="0"/>
                <w:color w:val="auto"/>
                <w:kern w:val="0"/>
                <w:sz w:val="22"/>
                <w:szCs w:val="22"/>
                <w:highlight w:val="none"/>
                <w:lang w:val="en-US" w:eastAsia="zh-CN" w:bidi="ar"/>
              </w:rPr>
            </w:pPr>
            <w:r>
              <w:rPr>
                <w:rFonts w:hint="eastAsia" w:asciiTheme="minorEastAsia" w:hAnsiTheme="minorEastAsia" w:eastAsiaTheme="minorEastAsia" w:cstheme="minorEastAsia"/>
                <w:color w:val="auto"/>
                <w:sz w:val="22"/>
                <w:szCs w:val="22"/>
                <w:highlight w:val="none"/>
                <w:lang w:bidi="ar"/>
                <w:woUserID w:val="2"/>
              </w:rPr>
              <w:t>一带一路暨金砖国家技能发展与技术创新大赛</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FAB2">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bidi="ar"/>
                <w:woUserID w:val="2"/>
              </w:rPr>
            </w:pPr>
            <w:r>
              <w:rPr>
                <w:rFonts w:hint="eastAsia" w:asciiTheme="minorEastAsia" w:hAnsiTheme="minorEastAsia" w:eastAsiaTheme="minorEastAsia" w:cstheme="minorEastAsia"/>
                <w:color w:val="auto"/>
                <w:sz w:val="22"/>
                <w:szCs w:val="22"/>
                <w:lang w:bidi="ar"/>
                <w:woUserID w:val="2"/>
              </w:rPr>
              <w:t>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金砖国家工商理事会中方理事会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一带一路暨金砖国家技能发展国际联盟</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一带一路暨金砖国家技能发展与技术创新培训中心</w:t>
            </w:r>
          </w:p>
          <w:p w14:paraId="4A1F1B61">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kern w:val="2"/>
                <w:sz w:val="22"/>
                <w:szCs w:val="22"/>
                <w:lang w:val="en-US" w:eastAsia="zh-CN" w:bidi="ar"/>
              </w:rPr>
            </w:pPr>
            <w:r>
              <w:rPr>
                <w:rFonts w:hint="eastAsia" w:asciiTheme="minorEastAsia" w:hAnsiTheme="minorEastAsia" w:eastAsiaTheme="minorEastAsia" w:cstheme="minorEastAsia"/>
                <w:color w:val="auto"/>
                <w:sz w:val="22"/>
                <w:szCs w:val="22"/>
                <w:lang w:bidi="ar"/>
                <w:woUserID w:val="2"/>
              </w:rPr>
              <w:t>联合主办单位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中国发明协会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教育部中外人文交流中心</w:t>
            </w:r>
          </w:p>
        </w:tc>
        <w:tc>
          <w:tcPr>
            <w:tcW w:w="1287" w:type="dxa"/>
            <w:vMerge w:val="restart"/>
            <w:tcBorders>
              <w:top w:val="single" w:color="000000" w:sz="4" w:space="0"/>
              <w:left w:val="single" w:color="000000" w:sz="4" w:space="0"/>
              <w:right w:val="single" w:color="000000" w:sz="4" w:space="0"/>
            </w:tcBorders>
            <w:vAlign w:val="center"/>
          </w:tcPr>
          <w:p w14:paraId="008F636A">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国家级C类</w:t>
            </w:r>
          </w:p>
        </w:tc>
      </w:tr>
      <w:tr w14:paraId="08C47C7F">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BAB8">
            <w:pPr>
              <w:keepNext w:val="0"/>
              <w:keepLines w:val="0"/>
              <w:pageBreakBefore w:val="0"/>
              <w:widowControl w:val="0"/>
              <w:kinsoku/>
              <w:wordWrap/>
              <w:overflowPunct/>
              <w:topLinePunct w:val="0"/>
              <w:bidi w:val="0"/>
              <w:adjustRightInd/>
              <w:snapToGrid/>
              <w:ind w:left="0" w:leftChars="0" w:firstLine="0" w:firstLineChars="0"/>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kern w:val="2"/>
                <w:sz w:val="22"/>
                <w:szCs w:val="22"/>
                <w:lang w:val="en-US" w:eastAsia="zh" w:bidi="ar-SA"/>
                <w:woUserID w:val="2"/>
              </w:rPr>
              <w:t>8</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54B3">
            <w:pPr>
              <w:jc w:val="both"/>
              <w:rPr>
                <w:rFonts w:hint="eastAsia" w:asciiTheme="minorEastAsia" w:hAnsiTheme="minorEastAsia" w:eastAsiaTheme="minorEastAsia" w:cstheme="minorEastAsia"/>
                <w:color w:val="auto"/>
                <w:sz w:val="22"/>
                <w:szCs w:val="22"/>
                <w:highlight w:val="none"/>
                <w:lang w:bidi="ar"/>
              </w:rPr>
            </w:pPr>
            <w:r>
              <w:rPr>
                <w:rFonts w:hint="eastAsia" w:asciiTheme="minorEastAsia" w:hAnsiTheme="minorEastAsia" w:eastAsiaTheme="minorEastAsia" w:cstheme="minorEastAsia"/>
                <w:color w:val="auto"/>
                <w:sz w:val="22"/>
                <w:szCs w:val="22"/>
                <w:highlight w:val="none"/>
                <w:lang w:bidi="ar"/>
                <w:woUserID w:val="2"/>
              </w:rPr>
              <w:t>金砖国家职业技能大赛</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6FBFD">
            <w:pPr>
              <w:jc w:val="both"/>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highlight w:val="none"/>
                <w:lang w:val="en-US" w:eastAsia="zh-CN" w:bidi="ar"/>
                <w:woUserID w:val="2"/>
              </w:rPr>
              <w:t>教育部</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人力资源和社会保障部</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金砖国家工商理事会</w:t>
            </w:r>
            <w:r>
              <w:rPr>
                <w:rFonts w:hint="eastAsia" w:asciiTheme="minorEastAsia" w:hAnsiTheme="minorEastAsia" w:eastAsiaTheme="minorEastAsia" w:cstheme="minorEastAsia"/>
                <w:color w:val="auto"/>
                <w:sz w:val="22"/>
                <w:szCs w:val="22"/>
                <w:highlight w:val="none"/>
                <w:lang w:val="en-US" w:eastAsia="zh" w:bidi="ar"/>
                <w:woUserID w:val="2"/>
              </w:rPr>
              <w:t>、</w:t>
            </w:r>
            <w:r>
              <w:rPr>
                <w:rFonts w:hint="eastAsia" w:asciiTheme="minorEastAsia" w:hAnsiTheme="minorEastAsia" w:eastAsiaTheme="minorEastAsia" w:cstheme="minorEastAsia"/>
                <w:color w:val="auto"/>
                <w:sz w:val="22"/>
                <w:szCs w:val="22"/>
                <w:highlight w:val="none"/>
                <w:lang w:val="en-US" w:eastAsia="zh-CN" w:bidi="ar"/>
                <w:woUserID w:val="2"/>
              </w:rPr>
              <w:t>厦门市人民政府</w:t>
            </w:r>
          </w:p>
        </w:tc>
        <w:tc>
          <w:tcPr>
            <w:tcW w:w="1287" w:type="dxa"/>
            <w:vMerge w:val="continue"/>
            <w:tcBorders>
              <w:left w:val="single" w:color="000000" w:sz="4" w:space="0"/>
              <w:right w:val="single" w:color="000000" w:sz="4" w:space="0"/>
            </w:tcBorders>
            <w:vAlign w:val="center"/>
          </w:tcPr>
          <w:p w14:paraId="7BF897C3">
            <w:pPr>
              <w:keepNext w:val="0"/>
              <w:keepLines w:val="0"/>
              <w:pageBreakBefore w:val="0"/>
              <w:widowControl w:val="0"/>
              <w:kinsoku/>
              <w:wordWrap/>
              <w:overflowPunct/>
              <w:topLinePunct w:val="0"/>
              <w:bidi w:val="0"/>
              <w:adjustRightInd/>
              <w:snapToGrid/>
              <w:ind w:left="0" w:leftChars="0" w:firstLine="0" w:firstLineChars="0"/>
              <w:jc w:val="center"/>
              <w:textAlignment w:val="center"/>
              <w:rPr>
                <w:rFonts w:hint="eastAsia" w:asciiTheme="minorEastAsia" w:hAnsiTheme="minorEastAsia" w:eastAsiaTheme="minorEastAsia" w:cstheme="minorEastAsia"/>
                <w:color w:val="auto"/>
                <w:sz w:val="22"/>
                <w:szCs w:val="22"/>
                <w:lang w:bidi="ar"/>
              </w:rPr>
            </w:pPr>
          </w:p>
        </w:tc>
      </w:tr>
      <w:tr w14:paraId="7279EFF3">
        <w:tblPrEx>
          <w:tblCellMar>
            <w:top w:w="0" w:type="dxa"/>
            <w:left w:w="108" w:type="dxa"/>
            <w:bottom w:w="0" w:type="dxa"/>
            <w:right w:w="108" w:type="dxa"/>
          </w:tblCellMar>
        </w:tblPrEx>
        <w:trPr>
          <w:trHeight w:val="20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921D">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kern w:val="2"/>
                <w:sz w:val="22"/>
                <w:szCs w:val="22"/>
                <w:lang w:val="en-US" w:eastAsia="zh" w:bidi="ar-SA"/>
                <w:woUserID w:val="2"/>
              </w:rPr>
              <w:t>9</w:t>
            </w:r>
          </w:p>
        </w:tc>
        <w:tc>
          <w:tcPr>
            <w:tcW w:w="4069" w:type="dxa"/>
            <w:tcBorders>
              <w:top w:val="single" w:color="000000" w:sz="4" w:space="0"/>
              <w:left w:val="single" w:color="000000" w:sz="4" w:space="0"/>
              <w:bottom w:val="single" w:color="000000" w:sz="4" w:space="0"/>
              <w:right w:val="single" w:color="000000" w:sz="4" w:space="0"/>
            </w:tcBorders>
            <w:vAlign w:val="center"/>
          </w:tcPr>
          <w:p w14:paraId="0F6287A9">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河北省职业院校技能大赛教学能力比赛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65F90BB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河北省教育厅</w:t>
            </w:r>
          </w:p>
        </w:tc>
        <w:tc>
          <w:tcPr>
            <w:tcW w:w="1287" w:type="dxa"/>
            <w:vMerge w:val="restart"/>
            <w:tcBorders>
              <w:top w:val="single" w:color="000000" w:sz="4" w:space="0"/>
              <w:left w:val="single" w:color="000000" w:sz="4" w:space="0"/>
              <w:right w:val="single" w:color="000000" w:sz="4" w:space="0"/>
            </w:tcBorders>
            <w:vAlign w:val="center"/>
          </w:tcPr>
          <w:p w14:paraId="5FA9F62A">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省级A类</w:t>
            </w:r>
          </w:p>
        </w:tc>
      </w:tr>
      <w:tr w14:paraId="2B95664B">
        <w:tblPrEx>
          <w:tblCellMar>
            <w:top w:w="0" w:type="dxa"/>
            <w:left w:w="108" w:type="dxa"/>
            <w:bottom w:w="0" w:type="dxa"/>
            <w:right w:w="108" w:type="dxa"/>
          </w:tblCellMar>
        </w:tblPrEx>
        <w:trPr>
          <w:trHeight w:val="32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928A9">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strike/>
                <w:color w:val="auto"/>
                <w:kern w:val="2"/>
                <w:sz w:val="22"/>
                <w:szCs w:val="22"/>
                <w:lang w:val="en-US" w:eastAsia="zh" w:bidi="ar-SA"/>
                <w:woUserID w:val="2"/>
              </w:rPr>
            </w:pPr>
            <w:r>
              <w:rPr>
                <w:rFonts w:hint="eastAsia" w:asciiTheme="minorEastAsia" w:hAnsiTheme="minorEastAsia" w:eastAsiaTheme="minorEastAsia" w:cstheme="minorEastAsia"/>
                <w:strike w:val="0"/>
                <w:color w:val="auto"/>
                <w:kern w:val="2"/>
                <w:sz w:val="22"/>
                <w:szCs w:val="22"/>
                <w:lang w:val="en-US" w:eastAsia="zh" w:bidi="ar-SA"/>
                <w:woUserID w:val="2"/>
              </w:rPr>
              <w:t>10</w:t>
            </w:r>
          </w:p>
        </w:tc>
        <w:tc>
          <w:tcPr>
            <w:tcW w:w="4069" w:type="dxa"/>
            <w:tcBorders>
              <w:top w:val="single" w:color="000000" w:sz="4" w:space="0"/>
              <w:left w:val="single" w:color="000000" w:sz="4" w:space="0"/>
              <w:bottom w:val="single" w:color="000000" w:sz="4" w:space="0"/>
              <w:right w:val="single" w:color="000000" w:sz="4" w:space="0"/>
            </w:tcBorders>
            <w:vAlign w:val="center"/>
          </w:tcPr>
          <w:p w14:paraId="235F06AC">
            <w:pPr>
              <w:jc w:val="both"/>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河北省职业技能大赛（对接国赛赛项）</w:t>
            </w:r>
          </w:p>
        </w:tc>
        <w:tc>
          <w:tcPr>
            <w:tcW w:w="3949" w:type="dxa"/>
            <w:tcBorders>
              <w:top w:val="single" w:color="000000" w:sz="4" w:space="0"/>
              <w:left w:val="single" w:color="000000" w:sz="4" w:space="0"/>
              <w:bottom w:val="single" w:color="000000" w:sz="4" w:space="0"/>
              <w:right w:val="single" w:color="000000" w:sz="4" w:space="0"/>
            </w:tcBorders>
            <w:vAlign w:val="center"/>
          </w:tcPr>
          <w:p w14:paraId="5359330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eastAsia="zh"/>
                <w:woUserID w:val="2"/>
              </w:rPr>
            </w:pPr>
            <w:r>
              <w:rPr>
                <w:rFonts w:hint="eastAsia" w:asciiTheme="minorEastAsia" w:hAnsiTheme="minorEastAsia" w:eastAsiaTheme="minorEastAsia" w:cstheme="minorEastAsia"/>
                <w:color w:val="auto"/>
                <w:sz w:val="22"/>
                <w:szCs w:val="22"/>
                <w:lang w:bidi="ar"/>
              </w:rPr>
              <w:t>河北省人力资源和社会保障厅</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rPr>
              <w:t>独立举办</w:t>
            </w:r>
            <w:r>
              <w:rPr>
                <w:rFonts w:hint="eastAsia" w:asciiTheme="minorEastAsia" w:hAnsiTheme="minorEastAsia" w:eastAsiaTheme="minorEastAsia" w:cstheme="minorEastAsia"/>
                <w:color w:val="auto"/>
                <w:sz w:val="22"/>
                <w:szCs w:val="22"/>
                <w:lang w:eastAsia="zh" w:bidi="ar"/>
                <w:woUserID w:val="2"/>
              </w:rPr>
              <w:t>）</w:t>
            </w:r>
          </w:p>
        </w:tc>
        <w:tc>
          <w:tcPr>
            <w:tcW w:w="1287" w:type="dxa"/>
            <w:vMerge w:val="continue"/>
            <w:tcBorders>
              <w:left w:val="single" w:color="000000" w:sz="4" w:space="0"/>
              <w:right w:val="single" w:color="000000" w:sz="4" w:space="0"/>
            </w:tcBorders>
            <w:vAlign w:val="center"/>
          </w:tcPr>
          <w:p w14:paraId="70DBB611">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47826F7B">
        <w:tblPrEx>
          <w:tblCellMar>
            <w:top w:w="0" w:type="dxa"/>
            <w:left w:w="108" w:type="dxa"/>
            <w:bottom w:w="0" w:type="dxa"/>
            <w:right w:w="108" w:type="dxa"/>
          </w:tblCellMar>
        </w:tblPrEx>
        <w:trPr>
          <w:trHeight w:val="13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3C82">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strike/>
                <w:color w:val="auto"/>
                <w:kern w:val="2"/>
                <w:sz w:val="22"/>
                <w:szCs w:val="22"/>
                <w:lang w:val="en-US" w:eastAsia="zh" w:bidi="ar-SA"/>
                <w:woUserID w:val="2"/>
              </w:rPr>
            </w:pPr>
            <w:r>
              <w:rPr>
                <w:rFonts w:hint="eastAsia" w:asciiTheme="minorEastAsia" w:hAnsiTheme="minorEastAsia" w:eastAsiaTheme="minorEastAsia" w:cstheme="minorEastAsia"/>
                <w:strike w:val="0"/>
                <w:color w:val="auto"/>
                <w:kern w:val="2"/>
                <w:sz w:val="22"/>
                <w:szCs w:val="22"/>
                <w:lang w:val="en-US" w:eastAsia="zh" w:bidi="ar-SA"/>
                <w:woUserID w:val="2"/>
              </w:rPr>
              <w:t>11</w:t>
            </w:r>
          </w:p>
        </w:tc>
        <w:tc>
          <w:tcPr>
            <w:tcW w:w="4069" w:type="dxa"/>
            <w:tcBorders>
              <w:top w:val="single" w:color="000000" w:sz="4" w:space="0"/>
              <w:left w:val="single" w:color="000000" w:sz="4" w:space="0"/>
              <w:bottom w:val="single" w:color="000000" w:sz="4" w:space="0"/>
              <w:right w:val="single" w:color="000000" w:sz="4" w:space="0"/>
            </w:tcBorders>
            <w:vAlign w:val="center"/>
          </w:tcPr>
          <w:p w14:paraId="7422915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河北省职业院校技能大赛（教师组）</w:t>
            </w:r>
          </w:p>
        </w:tc>
        <w:tc>
          <w:tcPr>
            <w:tcW w:w="3949" w:type="dxa"/>
            <w:tcBorders>
              <w:top w:val="single" w:color="000000" w:sz="4" w:space="0"/>
              <w:left w:val="single" w:color="000000" w:sz="4" w:space="0"/>
              <w:bottom w:val="single" w:color="000000" w:sz="4" w:space="0"/>
              <w:right w:val="single" w:color="000000" w:sz="4" w:space="0"/>
            </w:tcBorders>
            <w:vAlign w:val="center"/>
          </w:tcPr>
          <w:p w14:paraId="64091A06">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河北省教育厅</w:t>
            </w:r>
          </w:p>
        </w:tc>
        <w:tc>
          <w:tcPr>
            <w:tcW w:w="1287" w:type="dxa"/>
            <w:vMerge w:val="continue"/>
            <w:tcBorders>
              <w:left w:val="single" w:color="000000" w:sz="4" w:space="0"/>
              <w:bottom w:val="single" w:color="000000" w:sz="4" w:space="0"/>
              <w:right w:val="single" w:color="000000" w:sz="4" w:space="0"/>
            </w:tcBorders>
            <w:vAlign w:val="center"/>
          </w:tcPr>
          <w:p w14:paraId="0A06CD07">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p>
        </w:tc>
      </w:tr>
      <w:tr w14:paraId="233390F5">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96D4">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sz w:val="22"/>
                <w:szCs w:val="22"/>
              </w:rPr>
              <w:t>1</w:t>
            </w:r>
            <w:r>
              <w:rPr>
                <w:rFonts w:hint="eastAsia" w:asciiTheme="minorEastAsia" w:hAnsiTheme="minorEastAsia" w:eastAsiaTheme="minorEastAsia" w:cstheme="minorEastAsia"/>
                <w:color w:val="auto"/>
                <w:sz w:val="22"/>
                <w:szCs w:val="22"/>
                <w:lang w:eastAsia="zh"/>
                <w:woUserID w:val="2"/>
              </w:rPr>
              <w:t>2</w:t>
            </w:r>
          </w:p>
        </w:tc>
        <w:tc>
          <w:tcPr>
            <w:tcW w:w="4069" w:type="dxa"/>
            <w:tcBorders>
              <w:top w:val="single" w:color="000000" w:sz="4" w:space="0"/>
              <w:left w:val="single" w:color="000000" w:sz="4" w:space="0"/>
              <w:bottom w:val="single" w:color="000000" w:sz="4" w:space="0"/>
              <w:right w:val="single" w:color="000000" w:sz="4" w:space="0"/>
            </w:tcBorders>
            <w:vAlign w:val="center"/>
          </w:tcPr>
          <w:p w14:paraId="76C11C66">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strike/>
                <w:color w:val="auto"/>
                <w:sz w:val="22"/>
                <w:szCs w:val="22"/>
              </w:rPr>
            </w:pPr>
            <w:r>
              <w:rPr>
                <w:rFonts w:hint="eastAsia" w:asciiTheme="minorEastAsia" w:hAnsiTheme="minorEastAsia" w:eastAsiaTheme="minorEastAsia" w:cstheme="minorEastAsia"/>
                <w:color w:val="auto"/>
                <w:sz w:val="22"/>
                <w:szCs w:val="22"/>
                <w:lang w:bidi="ar"/>
              </w:rPr>
              <w:t>河北省艺术联展</w:t>
            </w:r>
          </w:p>
        </w:tc>
        <w:tc>
          <w:tcPr>
            <w:tcW w:w="3949" w:type="dxa"/>
            <w:tcBorders>
              <w:top w:val="single" w:color="000000" w:sz="4" w:space="0"/>
              <w:left w:val="single" w:color="000000" w:sz="4" w:space="0"/>
              <w:bottom w:val="single" w:color="000000" w:sz="4" w:space="0"/>
              <w:right w:val="single" w:color="000000" w:sz="4" w:space="0"/>
            </w:tcBorders>
            <w:vAlign w:val="center"/>
          </w:tcPr>
          <w:p w14:paraId="73B7584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strike/>
                <w:color w:val="auto"/>
                <w:sz w:val="22"/>
                <w:szCs w:val="22"/>
              </w:rPr>
            </w:pPr>
            <w:r>
              <w:rPr>
                <w:rFonts w:hint="eastAsia" w:asciiTheme="minorEastAsia" w:hAnsiTheme="minorEastAsia" w:eastAsiaTheme="minorEastAsia" w:cstheme="minorEastAsia"/>
                <w:color w:val="auto"/>
                <w:sz w:val="22"/>
                <w:szCs w:val="22"/>
                <w:lang w:bidi="ar"/>
              </w:rPr>
              <w:t>共青团河北省委、河北省教育厅、河北省文化和旅游厅、河北省广播电视局、河北省青年联合会</w:t>
            </w:r>
          </w:p>
        </w:tc>
        <w:tc>
          <w:tcPr>
            <w:tcW w:w="1287" w:type="dxa"/>
            <w:vMerge w:val="restart"/>
            <w:tcBorders>
              <w:top w:val="single" w:color="000000" w:sz="4" w:space="0"/>
              <w:left w:val="single" w:color="000000" w:sz="4" w:space="0"/>
              <w:right w:val="single" w:color="000000" w:sz="4" w:space="0"/>
            </w:tcBorders>
            <w:vAlign w:val="center"/>
          </w:tcPr>
          <w:p w14:paraId="6419187C">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省级B类</w:t>
            </w:r>
          </w:p>
        </w:tc>
      </w:tr>
      <w:tr w14:paraId="4BF92A01">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E252">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sz w:val="22"/>
                <w:szCs w:val="22"/>
              </w:rPr>
              <w:t>1</w:t>
            </w:r>
            <w:r>
              <w:rPr>
                <w:rFonts w:hint="eastAsia" w:asciiTheme="minorEastAsia" w:hAnsiTheme="minorEastAsia" w:eastAsiaTheme="minorEastAsia" w:cstheme="minorEastAsia"/>
                <w:color w:val="auto"/>
                <w:sz w:val="22"/>
                <w:szCs w:val="22"/>
                <w:lang w:eastAsia="zh"/>
                <w:woUserID w:val="2"/>
              </w:rPr>
              <w:t>3</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6CDB">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河北省高校辅导员素质能力大赛（仅限学生思想政治教育专业使用）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50BA">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河北省教育厅</w:t>
            </w:r>
          </w:p>
        </w:tc>
        <w:tc>
          <w:tcPr>
            <w:tcW w:w="1287" w:type="dxa"/>
            <w:vMerge w:val="continue"/>
            <w:tcBorders>
              <w:left w:val="single" w:color="000000" w:sz="4" w:space="0"/>
              <w:right w:val="single" w:color="000000" w:sz="4" w:space="0"/>
            </w:tcBorders>
            <w:vAlign w:val="center"/>
          </w:tcPr>
          <w:p w14:paraId="76C16430">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p>
        </w:tc>
      </w:tr>
      <w:tr w14:paraId="5364AFD6">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ED4A">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sz w:val="22"/>
                <w:szCs w:val="22"/>
              </w:rPr>
              <w:t>1</w:t>
            </w:r>
            <w:r>
              <w:rPr>
                <w:rFonts w:hint="eastAsia" w:asciiTheme="minorEastAsia" w:hAnsiTheme="minorEastAsia" w:eastAsiaTheme="minorEastAsia" w:cstheme="minorEastAsia"/>
                <w:color w:val="auto"/>
                <w:sz w:val="22"/>
                <w:szCs w:val="22"/>
                <w:lang w:eastAsia="zh"/>
                <w:woUserID w:val="2"/>
              </w:rPr>
              <w:t>4</w:t>
            </w:r>
          </w:p>
        </w:tc>
        <w:tc>
          <w:tcPr>
            <w:tcW w:w="4069" w:type="dxa"/>
            <w:tcBorders>
              <w:top w:val="single" w:color="000000" w:sz="4" w:space="0"/>
              <w:left w:val="single" w:color="000000" w:sz="4" w:space="0"/>
              <w:bottom w:val="single" w:color="000000" w:sz="4" w:space="0"/>
              <w:right w:val="single" w:color="000000" w:sz="4" w:space="0"/>
            </w:tcBorders>
            <w:vAlign w:val="center"/>
          </w:tcPr>
          <w:p w14:paraId="1F2CF7B0">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snapToGrid w:val="0"/>
                <w:color w:val="auto"/>
                <w:kern w:val="0"/>
                <w:sz w:val="22"/>
                <w:szCs w:val="22"/>
                <w:lang w:bidi="ar"/>
              </w:rPr>
              <w:t>中华经典诵写讲大赛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3F3D1B06">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河北省语言文字工作委员会</w:t>
            </w:r>
          </w:p>
          <w:p w14:paraId="4C008E0F">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eastAsia="zh" w:bidi="ar"/>
                <w:woUserID w:val="2"/>
              </w:rPr>
            </w:pPr>
            <w:r>
              <w:rPr>
                <w:rFonts w:hint="eastAsia" w:asciiTheme="minorEastAsia" w:hAnsiTheme="minorEastAsia" w:eastAsiaTheme="minorEastAsia" w:cstheme="minorEastAsia"/>
                <w:color w:val="auto"/>
                <w:sz w:val="22"/>
                <w:szCs w:val="22"/>
                <w:lang w:bidi="ar"/>
              </w:rPr>
              <w:t>河北省教育厅</w:t>
            </w:r>
          </w:p>
        </w:tc>
        <w:tc>
          <w:tcPr>
            <w:tcW w:w="1287" w:type="dxa"/>
            <w:vMerge w:val="continue"/>
            <w:tcBorders>
              <w:left w:val="single" w:color="000000" w:sz="4" w:space="0"/>
              <w:bottom w:val="single" w:color="000000" w:sz="4" w:space="0"/>
              <w:right w:val="single" w:color="000000" w:sz="4" w:space="0"/>
            </w:tcBorders>
            <w:vAlign w:val="center"/>
          </w:tcPr>
          <w:p w14:paraId="11AB5123">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p>
        </w:tc>
      </w:tr>
      <w:tr w14:paraId="05C6C160">
        <w:tblPrEx>
          <w:tblCellMar>
            <w:top w:w="0" w:type="dxa"/>
            <w:left w:w="108" w:type="dxa"/>
            <w:bottom w:w="0" w:type="dxa"/>
            <w:right w:w="108" w:type="dxa"/>
          </w:tblCellMar>
        </w:tblPrEx>
        <w:trPr>
          <w:trHeight w:val="55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115D">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sz w:val="22"/>
                <w:szCs w:val="22"/>
              </w:rPr>
              <w:t>1</w:t>
            </w:r>
            <w:r>
              <w:rPr>
                <w:rFonts w:hint="eastAsia" w:asciiTheme="minorEastAsia" w:hAnsiTheme="minorEastAsia" w:eastAsiaTheme="minorEastAsia" w:cstheme="minorEastAsia"/>
                <w:color w:val="auto"/>
                <w:sz w:val="22"/>
                <w:szCs w:val="22"/>
                <w:lang w:eastAsia="zh"/>
                <w:woUserID w:val="2"/>
              </w:rPr>
              <w:t>5</w:t>
            </w:r>
          </w:p>
        </w:tc>
        <w:tc>
          <w:tcPr>
            <w:tcW w:w="4069" w:type="dxa"/>
            <w:tcBorders>
              <w:top w:val="single" w:color="000000" w:sz="4" w:space="0"/>
              <w:left w:val="single" w:color="000000" w:sz="4" w:space="0"/>
              <w:bottom w:val="single" w:color="000000" w:sz="4" w:space="0"/>
              <w:right w:val="single" w:color="000000" w:sz="4" w:space="0"/>
            </w:tcBorders>
            <w:vAlign w:val="center"/>
          </w:tcPr>
          <w:p w14:paraId="6F2B44AE">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snapToGrid w:val="0"/>
                <w:color w:val="auto"/>
                <w:kern w:val="0"/>
                <w:sz w:val="22"/>
                <w:szCs w:val="22"/>
                <w:highlight w:val="none"/>
                <w:lang w:eastAsia="zh" w:bidi="ar"/>
                <w:woUserID w:val="2"/>
              </w:rPr>
            </w:pPr>
            <w:r>
              <w:rPr>
                <w:rFonts w:hint="eastAsia" w:asciiTheme="minorEastAsia" w:hAnsiTheme="minorEastAsia" w:eastAsiaTheme="minorEastAsia" w:cstheme="minorEastAsia"/>
                <w:color w:val="auto"/>
                <w:sz w:val="22"/>
                <w:szCs w:val="22"/>
                <w:highlight w:val="none"/>
                <w:lang w:bidi="ar"/>
              </w:rPr>
              <w:t>一带一路暨金砖国家技能发展与技术创新大赛</w:t>
            </w:r>
            <w:r>
              <w:rPr>
                <w:rFonts w:hint="eastAsia" w:asciiTheme="minorEastAsia" w:hAnsiTheme="minorEastAsia" w:eastAsiaTheme="minorEastAsia" w:cstheme="minorEastAsia"/>
                <w:color w:val="auto"/>
                <w:sz w:val="22"/>
                <w:szCs w:val="22"/>
                <w:highlight w:val="none"/>
                <w:lang w:eastAsia="zh" w:bidi="ar"/>
                <w:woUserID w:val="2"/>
              </w:rPr>
              <w:t>（选拔赛）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70420149">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bidi="ar"/>
                <w:woUserID w:val="2"/>
              </w:rPr>
            </w:pPr>
            <w:r>
              <w:rPr>
                <w:rFonts w:hint="eastAsia" w:asciiTheme="minorEastAsia" w:hAnsiTheme="minorEastAsia" w:eastAsiaTheme="minorEastAsia" w:cstheme="minorEastAsia"/>
                <w:color w:val="auto"/>
                <w:sz w:val="22"/>
                <w:szCs w:val="22"/>
                <w:lang w:bidi="ar"/>
                <w:woUserID w:val="2"/>
              </w:rPr>
              <w:t>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金砖国家工商理事会中方理事会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一带一路暨金砖国家技能发展国际联盟</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一带一路暨金砖国家技能发展与技术创新培训中心</w:t>
            </w:r>
          </w:p>
          <w:p w14:paraId="068E674E">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lang w:bidi="ar"/>
                <w:woUserID w:val="2"/>
              </w:rPr>
            </w:pPr>
            <w:r>
              <w:rPr>
                <w:rFonts w:hint="eastAsia" w:asciiTheme="minorEastAsia" w:hAnsiTheme="minorEastAsia" w:eastAsiaTheme="minorEastAsia" w:cstheme="minorEastAsia"/>
                <w:color w:val="auto"/>
                <w:sz w:val="22"/>
                <w:szCs w:val="22"/>
                <w:lang w:bidi="ar"/>
                <w:woUserID w:val="2"/>
              </w:rPr>
              <w:t>联合主办单位</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中国发明协会</w:t>
            </w:r>
            <w:r>
              <w:rPr>
                <w:rFonts w:hint="eastAsia" w:asciiTheme="minorEastAsia" w:hAnsiTheme="minorEastAsia" w:eastAsiaTheme="minorEastAsia" w:cstheme="minorEastAsia"/>
                <w:color w:val="auto"/>
                <w:sz w:val="22"/>
                <w:szCs w:val="22"/>
                <w:lang w:eastAsia="zh" w:bidi="ar"/>
                <w:woUserID w:val="2"/>
              </w:rPr>
              <w:t>、</w:t>
            </w:r>
            <w:r>
              <w:rPr>
                <w:rFonts w:hint="eastAsia" w:asciiTheme="minorEastAsia" w:hAnsiTheme="minorEastAsia" w:eastAsiaTheme="minorEastAsia" w:cstheme="minorEastAsia"/>
                <w:color w:val="auto"/>
                <w:sz w:val="22"/>
                <w:szCs w:val="22"/>
                <w:lang w:bidi="ar"/>
                <w:woUserID w:val="2"/>
              </w:rPr>
              <w:t>教育部中外人文交流中心</w:t>
            </w:r>
          </w:p>
        </w:tc>
        <w:tc>
          <w:tcPr>
            <w:tcW w:w="1287" w:type="dxa"/>
            <w:vMerge w:val="restart"/>
            <w:tcBorders>
              <w:top w:val="single" w:color="000000" w:sz="4" w:space="0"/>
              <w:left w:val="single" w:color="000000" w:sz="4" w:space="0"/>
              <w:right w:val="single" w:color="000000" w:sz="4" w:space="0"/>
            </w:tcBorders>
            <w:vAlign w:val="center"/>
          </w:tcPr>
          <w:p w14:paraId="4DAC9202">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省级C类</w:t>
            </w:r>
          </w:p>
        </w:tc>
      </w:tr>
      <w:tr w14:paraId="7A69CB75">
        <w:tblPrEx>
          <w:tblCellMar>
            <w:top w:w="0" w:type="dxa"/>
            <w:left w:w="108" w:type="dxa"/>
            <w:bottom w:w="0" w:type="dxa"/>
            <w:right w:w="108" w:type="dxa"/>
          </w:tblCellMar>
        </w:tblPrEx>
        <w:trPr>
          <w:trHeight w:val="13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85EC">
            <w:pPr>
              <w:keepNext w:val="0"/>
              <w:keepLines w:val="0"/>
              <w:pageBreakBefore w:val="0"/>
              <w:widowControl w:val="0"/>
              <w:kinsoku/>
              <w:wordWrap/>
              <w:overflowPunct/>
              <w:topLinePunct w:val="0"/>
              <w:bidi w:val="0"/>
              <w:adjustRightInd/>
              <w:snapToGrid/>
              <w:ind w:left="0" w:leftChars="0" w:firstLine="0" w:firstLineChars="0"/>
              <w:jc w:val="center"/>
              <w:textAlignment w:val="center"/>
              <w:rPr>
                <w:rFonts w:hint="eastAsia" w:asciiTheme="minorEastAsia" w:hAnsiTheme="minorEastAsia" w:eastAsiaTheme="minorEastAsia" w:cstheme="minorEastAsia"/>
                <w:color w:val="auto"/>
                <w:sz w:val="22"/>
                <w:szCs w:val="22"/>
                <w:lang w:eastAsia="zh"/>
                <w:woUserID w:val="2"/>
              </w:rPr>
            </w:pPr>
            <w:r>
              <w:rPr>
                <w:rFonts w:hint="eastAsia" w:asciiTheme="minorEastAsia" w:hAnsiTheme="minorEastAsia" w:eastAsiaTheme="minorEastAsia" w:cstheme="minorEastAsia"/>
                <w:color w:val="auto"/>
                <w:sz w:val="22"/>
                <w:szCs w:val="22"/>
                <w:lang w:eastAsia="zh"/>
                <w:woUserID w:val="2"/>
              </w:rPr>
              <w:t>16</w:t>
            </w:r>
          </w:p>
        </w:tc>
        <w:tc>
          <w:tcPr>
            <w:tcW w:w="4069" w:type="dxa"/>
            <w:tcBorders>
              <w:top w:val="single" w:color="000000" w:sz="4" w:space="0"/>
              <w:left w:val="single" w:color="000000" w:sz="4" w:space="0"/>
              <w:bottom w:val="single" w:color="000000" w:sz="4" w:space="0"/>
              <w:right w:val="single" w:color="000000" w:sz="4" w:space="0"/>
            </w:tcBorders>
            <w:vAlign w:val="center"/>
          </w:tcPr>
          <w:p w14:paraId="4612AB31">
            <w:pPr>
              <w:keepNext w:val="0"/>
              <w:keepLines w:val="0"/>
              <w:pageBreakBefore w:val="0"/>
              <w:widowControl w:val="0"/>
              <w:kinsoku/>
              <w:wordWrap/>
              <w:overflowPunct/>
              <w:topLinePunct w:val="0"/>
              <w:bidi w:val="0"/>
              <w:adjustRightInd/>
              <w:snapToGrid/>
              <w:ind w:left="0" w:leftChars="0" w:firstLine="0" w:firstLineChars="0"/>
              <w:jc w:val="both"/>
              <w:textAlignment w:val="center"/>
              <w:rPr>
                <w:rFonts w:hint="eastAsia" w:asciiTheme="minorEastAsia" w:hAnsiTheme="minorEastAsia" w:eastAsiaTheme="minorEastAsia" w:cstheme="minorEastAsia"/>
                <w:color w:val="auto"/>
                <w:sz w:val="22"/>
                <w:szCs w:val="22"/>
                <w:highlight w:val="none"/>
                <w:lang w:eastAsia="zh" w:bidi="ar"/>
                <w:woUserID w:val="2"/>
              </w:rPr>
            </w:pPr>
            <w:r>
              <w:rPr>
                <w:rFonts w:hint="eastAsia" w:asciiTheme="minorEastAsia" w:hAnsiTheme="minorEastAsia" w:eastAsiaTheme="minorEastAsia" w:cstheme="minorEastAsia"/>
                <w:color w:val="auto"/>
                <w:sz w:val="22"/>
                <w:szCs w:val="22"/>
                <w:highlight w:val="none"/>
                <w:lang w:bidi="ar"/>
                <w:woUserID w:val="2"/>
              </w:rPr>
              <w:t>金砖国家职业技能大赛</w:t>
            </w:r>
            <w:r>
              <w:rPr>
                <w:rFonts w:hint="eastAsia" w:asciiTheme="minorEastAsia" w:hAnsiTheme="minorEastAsia" w:eastAsiaTheme="minorEastAsia" w:cstheme="minorEastAsia"/>
                <w:color w:val="auto"/>
                <w:sz w:val="22"/>
                <w:szCs w:val="22"/>
                <w:highlight w:val="none"/>
                <w:lang w:eastAsia="zh" w:bidi="ar"/>
                <w:woUserID w:val="2"/>
              </w:rPr>
              <w:t>（省选拔赛）</w:t>
            </w:r>
          </w:p>
        </w:tc>
        <w:tc>
          <w:tcPr>
            <w:tcW w:w="3949" w:type="dxa"/>
            <w:tcBorders>
              <w:top w:val="single" w:color="000000" w:sz="4" w:space="0"/>
              <w:left w:val="single" w:color="000000" w:sz="4" w:space="0"/>
              <w:bottom w:val="single" w:color="000000" w:sz="4" w:space="0"/>
              <w:right w:val="single" w:color="000000" w:sz="4" w:space="0"/>
            </w:tcBorders>
            <w:vAlign w:val="center"/>
          </w:tcPr>
          <w:p w14:paraId="15E269AC">
            <w:pPr>
              <w:keepNext w:val="0"/>
              <w:keepLines w:val="0"/>
              <w:pageBreakBefore w:val="0"/>
              <w:widowControl w:val="0"/>
              <w:kinsoku/>
              <w:wordWrap/>
              <w:overflowPunct/>
              <w:topLinePunct w:val="0"/>
              <w:bidi w:val="0"/>
              <w:adjustRightInd/>
              <w:snapToGrid/>
              <w:ind w:left="0" w:leftChars="0" w:firstLine="0" w:firstLineChars="0"/>
              <w:jc w:val="both"/>
              <w:textAlignment w:val="center"/>
              <w:rPr>
                <w:rFonts w:hint="eastAsia" w:asciiTheme="minorEastAsia" w:hAnsiTheme="minorEastAsia" w:eastAsiaTheme="minorEastAsia" w:cstheme="minorEastAsia"/>
                <w:color w:val="auto"/>
                <w:sz w:val="22"/>
                <w:szCs w:val="22"/>
                <w:lang w:eastAsia="zh" w:bidi="ar"/>
                <w:woUserID w:val="2"/>
              </w:rPr>
            </w:pPr>
            <w:r>
              <w:rPr>
                <w:rFonts w:hint="eastAsia" w:asciiTheme="minorEastAsia" w:hAnsiTheme="minorEastAsia" w:eastAsiaTheme="minorEastAsia" w:cstheme="minorEastAsia"/>
                <w:color w:val="auto"/>
                <w:sz w:val="22"/>
                <w:szCs w:val="22"/>
                <w:lang w:eastAsia="zh" w:bidi="ar"/>
                <w:woUserID w:val="2"/>
              </w:rPr>
              <w:t>河北省教育厅</w:t>
            </w:r>
          </w:p>
        </w:tc>
        <w:tc>
          <w:tcPr>
            <w:tcW w:w="1287" w:type="dxa"/>
            <w:vMerge w:val="continue"/>
            <w:tcBorders>
              <w:left w:val="single" w:color="000000" w:sz="4" w:space="0"/>
              <w:bottom w:val="single" w:color="000000" w:sz="4" w:space="0"/>
              <w:right w:val="single" w:color="000000" w:sz="4" w:space="0"/>
            </w:tcBorders>
            <w:vAlign w:val="center"/>
          </w:tcPr>
          <w:p w14:paraId="2279D6F0">
            <w:pPr>
              <w:keepNext w:val="0"/>
              <w:keepLines w:val="0"/>
              <w:pageBreakBefore w:val="0"/>
              <w:widowControl w:val="0"/>
              <w:kinsoku/>
              <w:wordWrap/>
              <w:overflowPunct/>
              <w:topLinePunct w:val="0"/>
              <w:bidi w:val="0"/>
              <w:adjustRightInd/>
              <w:snapToGrid/>
              <w:ind w:left="0" w:leftChars="0" w:firstLine="0" w:firstLineChars="0"/>
              <w:jc w:val="center"/>
              <w:textAlignment w:val="center"/>
              <w:rPr>
                <w:rFonts w:hint="eastAsia" w:asciiTheme="minorEastAsia" w:hAnsiTheme="minorEastAsia" w:eastAsiaTheme="minorEastAsia" w:cstheme="minorEastAsia"/>
                <w:color w:val="auto"/>
                <w:sz w:val="22"/>
                <w:szCs w:val="22"/>
                <w:lang w:bidi="ar"/>
              </w:rPr>
            </w:pPr>
          </w:p>
        </w:tc>
      </w:tr>
      <w:tr w14:paraId="6F1EC3E0">
        <w:tblPrEx>
          <w:tblCellMar>
            <w:top w:w="0" w:type="dxa"/>
            <w:left w:w="108" w:type="dxa"/>
            <w:bottom w:w="0" w:type="dxa"/>
            <w:right w:w="108" w:type="dxa"/>
          </w:tblCellMar>
        </w:tblPrEx>
        <w:trPr>
          <w:trHeight w:val="11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EBE">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kern w:val="2"/>
                <w:sz w:val="22"/>
                <w:szCs w:val="22"/>
                <w:lang w:val="en-US" w:eastAsia="zh-CN" w:bidi="ar-SA"/>
              </w:rPr>
              <w:t>1</w:t>
            </w:r>
            <w:r>
              <w:rPr>
                <w:rFonts w:hint="eastAsia" w:asciiTheme="minorEastAsia" w:hAnsiTheme="minorEastAsia" w:eastAsiaTheme="minorEastAsia" w:cstheme="minorEastAsia"/>
                <w:color w:val="auto"/>
                <w:kern w:val="2"/>
                <w:sz w:val="22"/>
                <w:szCs w:val="22"/>
                <w:lang w:val="en-US" w:eastAsia="zh" w:bidi="ar-SA"/>
                <w:woUserID w:val="2"/>
              </w:rPr>
              <w:t>7</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A073">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秦皇岛职业技术学院教师教学能力比赛</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8153">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秦皇岛职业技术学院</w:t>
            </w:r>
          </w:p>
        </w:tc>
        <w:tc>
          <w:tcPr>
            <w:tcW w:w="1287" w:type="dxa"/>
            <w:vMerge w:val="restart"/>
            <w:tcBorders>
              <w:top w:val="single" w:color="000000" w:sz="4" w:space="0"/>
              <w:left w:val="single" w:color="000000" w:sz="4" w:space="0"/>
              <w:right w:val="single" w:color="000000" w:sz="4" w:space="0"/>
            </w:tcBorders>
            <w:vAlign w:val="center"/>
          </w:tcPr>
          <w:p w14:paraId="48175B5C">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r>
              <w:rPr>
                <w:rFonts w:hint="eastAsia" w:asciiTheme="minorEastAsia" w:hAnsiTheme="minorEastAsia" w:eastAsiaTheme="minorEastAsia" w:cstheme="minorEastAsia"/>
                <w:color w:val="auto"/>
                <w:sz w:val="22"/>
                <w:szCs w:val="22"/>
                <w:lang w:bidi="ar"/>
              </w:rPr>
              <w:t>院级</w:t>
            </w:r>
          </w:p>
        </w:tc>
      </w:tr>
      <w:tr w14:paraId="06B81EA0">
        <w:tblPrEx>
          <w:tblCellMar>
            <w:top w:w="0" w:type="dxa"/>
            <w:left w:w="108" w:type="dxa"/>
            <w:bottom w:w="0" w:type="dxa"/>
            <w:right w:w="108" w:type="dxa"/>
          </w:tblCellMar>
        </w:tblPrEx>
        <w:trPr>
          <w:trHeight w:val="316"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7DB">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kern w:val="2"/>
                <w:sz w:val="22"/>
                <w:szCs w:val="22"/>
                <w:lang w:val="en-US" w:eastAsia="zh" w:bidi="ar-SA"/>
                <w:woUserID w:val="2"/>
              </w:rPr>
            </w:pPr>
            <w:r>
              <w:rPr>
                <w:rFonts w:hint="eastAsia" w:asciiTheme="minorEastAsia" w:hAnsiTheme="minorEastAsia" w:eastAsiaTheme="minorEastAsia" w:cstheme="minorEastAsia"/>
                <w:color w:val="auto"/>
                <w:kern w:val="2"/>
                <w:sz w:val="22"/>
                <w:szCs w:val="22"/>
                <w:lang w:val="en-US" w:eastAsia="zh-CN" w:bidi="ar-SA"/>
              </w:rPr>
              <w:t>1</w:t>
            </w:r>
            <w:r>
              <w:rPr>
                <w:rFonts w:hint="eastAsia" w:asciiTheme="minorEastAsia" w:hAnsiTheme="minorEastAsia" w:eastAsiaTheme="minorEastAsia" w:cstheme="minorEastAsia"/>
                <w:color w:val="auto"/>
                <w:kern w:val="2"/>
                <w:sz w:val="22"/>
                <w:szCs w:val="22"/>
                <w:lang w:val="en-US" w:eastAsia="zh" w:bidi="ar-SA"/>
                <w:woUserID w:val="2"/>
              </w:rPr>
              <w:t>8</w:t>
            </w:r>
          </w:p>
        </w:tc>
        <w:tc>
          <w:tcPr>
            <w:tcW w:w="4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8CD4">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秦皇岛职业技术学院课程思政教学比赛</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A0BD">
            <w:pPr>
              <w:keepNext w:val="0"/>
              <w:keepLines w:val="0"/>
              <w:pageBreakBefore w:val="0"/>
              <w:widowControl w:val="0"/>
              <w:kinsoku/>
              <w:wordWrap/>
              <w:overflowPunct/>
              <w:topLinePunct w:val="0"/>
              <w:bidi w:val="0"/>
              <w:adjustRightInd/>
              <w:snapToGrid/>
              <w:jc w:val="both"/>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lang w:bidi="ar"/>
              </w:rPr>
              <w:t>秦皇岛职业技术学院</w:t>
            </w:r>
          </w:p>
        </w:tc>
        <w:tc>
          <w:tcPr>
            <w:tcW w:w="1287" w:type="dxa"/>
            <w:vMerge w:val="continue"/>
            <w:tcBorders>
              <w:left w:val="single" w:color="000000" w:sz="4" w:space="0"/>
              <w:bottom w:val="single" w:color="000000" w:sz="4" w:space="0"/>
              <w:right w:val="single" w:color="000000" w:sz="4" w:space="0"/>
            </w:tcBorders>
            <w:vAlign w:val="center"/>
          </w:tcPr>
          <w:p w14:paraId="2EF300AD">
            <w:pPr>
              <w:keepNext w:val="0"/>
              <w:keepLines w:val="0"/>
              <w:pageBreakBefore w:val="0"/>
              <w:widowControl w:val="0"/>
              <w:kinsoku/>
              <w:wordWrap/>
              <w:overflowPunct/>
              <w:topLinePunct w:val="0"/>
              <w:bidi w:val="0"/>
              <w:adjustRightInd/>
              <w:snapToGrid/>
              <w:jc w:val="center"/>
              <w:textAlignment w:val="center"/>
              <w:rPr>
                <w:rFonts w:hint="eastAsia" w:asciiTheme="minorEastAsia" w:hAnsiTheme="minorEastAsia" w:eastAsiaTheme="minorEastAsia" w:cstheme="minorEastAsia"/>
                <w:color w:val="auto"/>
                <w:sz w:val="22"/>
                <w:szCs w:val="22"/>
                <w:lang w:bidi="ar"/>
              </w:rPr>
            </w:pPr>
          </w:p>
        </w:tc>
      </w:tr>
    </w:tbl>
    <w:p w14:paraId="0A0544DE">
      <w:pPr>
        <w:keepNext w:val="0"/>
        <w:keepLines w:val="0"/>
        <w:pageBreakBefore w:val="0"/>
        <w:widowControl w:val="0"/>
        <w:kinsoku/>
        <w:wordWrap/>
        <w:overflowPunct/>
        <w:topLinePunct w:val="0"/>
        <w:bidi w:val="0"/>
        <w:adjustRightInd/>
        <w:snapToGrid/>
        <w:rPr>
          <w:rFonts w:ascii="仿宋" w:hAnsi="仿宋" w:eastAsia="仿宋" w:cs="仿宋"/>
          <w:color w:val="auto"/>
          <w:sz w:val="24"/>
          <w:szCs w:val="28"/>
        </w:rPr>
      </w:pPr>
      <w:r>
        <w:rPr>
          <w:rFonts w:hint="eastAsia" w:asciiTheme="minorEastAsia" w:hAnsiTheme="minorEastAsia" w:eastAsiaTheme="minorEastAsia" w:cstheme="minorEastAsia"/>
          <w:color w:val="auto"/>
          <w:sz w:val="22"/>
          <w:szCs w:val="22"/>
        </w:rPr>
        <w:br w:type="page"/>
      </w:r>
    </w:p>
    <w:p w14:paraId="310311E9">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黑体" w:hAnsi="黑体" w:eastAsia="黑体" w:cs="黑体"/>
          <w:color w:val="auto"/>
          <w:sz w:val="24"/>
        </w:rPr>
      </w:pPr>
      <w:r>
        <w:rPr>
          <w:rFonts w:hint="eastAsia" w:ascii="黑体" w:hAnsi="黑体" w:eastAsia="黑体" w:cs="黑体"/>
          <w:color w:val="auto"/>
          <w:sz w:val="24"/>
        </w:rPr>
        <w:t>附录4</w:t>
      </w:r>
    </w:p>
    <w:tbl>
      <w:tblPr>
        <w:tblStyle w:val="4"/>
        <w:tblW w:w="10049" w:type="dxa"/>
        <w:jc w:val="center"/>
        <w:tblLayout w:type="fixed"/>
        <w:tblCellMar>
          <w:top w:w="0" w:type="dxa"/>
          <w:left w:w="108" w:type="dxa"/>
          <w:bottom w:w="0" w:type="dxa"/>
          <w:right w:w="108" w:type="dxa"/>
        </w:tblCellMar>
      </w:tblPr>
      <w:tblGrid>
        <w:gridCol w:w="1020"/>
        <w:gridCol w:w="969"/>
        <w:gridCol w:w="8060"/>
      </w:tblGrid>
      <w:tr w14:paraId="06AD8258">
        <w:tblPrEx>
          <w:tblCellMar>
            <w:top w:w="0" w:type="dxa"/>
            <w:left w:w="108" w:type="dxa"/>
            <w:bottom w:w="0" w:type="dxa"/>
            <w:right w:w="108" w:type="dxa"/>
          </w:tblCellMar>
        </w:tblPrEx>
        <w:trPr>
          <w:trHeight w:val="720" w:hRule="atLeast"/>
          <w:jc w:val="center"/>
        </w:trPr>
        <w:tc>
          <w:tcPr>
            <w:tcW w:w="10049" w:type="dxa"/>
            <w:gridSpan w:val="3"/>
            <w:tcBorders>
              <w:top w:val="nil"/>
              <w:left w:val="nil"/>
              <w:bottom w:val="nil"/>
              <w:right w:val="nil"/>
            </w:tcBorders>
            <w:vAlign w:val="center"/>
          </w:tcPr>
          <w:p w14:paraId="338443B1">
            <w:pPr>
              <w:keepNext w:val="0"/>
              <w:keepLines w:val="0"/>
              <w:pageBreakBefore w:val="0"/>
              <w:widowControl w:val="0"/>
              <w:kinsoku/>
              <w:wordWrap/>
              <w:overflowPunct/>
              <w:topLinePunct w:val="0"/>
              <w:bidi w:val="0"/>
              <w:adjustRightInd/>
              <w:snapToGrid/>
              <w:jc w:val="center"/>
              <w:textAlignment w:val="center"/>
              <w:rPr>
                <w:b/>
                <w:bCs/>
                <w:color w:val="auto"/>
                <w:sz w:val="32"/>
                <w:szCs w:val="32"/>
              </w:rPr>
            </w:pPr>
            <w:r>
              <w:rPr>
                <w:rFonts w:hint="eastAsia" w:ascii="方正小标宋简体" w:hAnsi="方正小标宋简体" w:eastAsia="方正小标宋简体" w:cs="方正小标宋简体"/>
                <w:color w:val="auto"/>
                <w:sz w:val="32"/>
                <w:szCs w:val="32"/>
                <w:lang w:bidi="ar"/>
              </w:rPr>
              <w:t>课题认定目录</w:t>
            </w:r>
          </w:p>
        </w:tc>
      </w:tr>
      <w:tr w14:paraId="76C9F1D2">
        <w:tblPrEx>
          <w:tblCellMar>
            <w:top w:w="0" w:type="dxa"/>
            <w:left w:w="108" w:type="dxa"/>
            <w:bottom w:w="0" w:type="dxa"/>
            <w:right w:w="108" w:type="dxa"/>
          </w:tblCellMar>
        </w:tblPrEx>
        <w:trPr>
          <w:trHeight w:val="480" w:hRule="atLeast"/>
          <w:jc w:val="center"/>
        </w:trPr>
        <w:tc>
          <w:tcPr>
            <w:tcW w:w="1989" w:type="dxa"/>
            <w:gridSpan w:val="2"/>
            <w:tcBorders>
              <w:top w:val="single" w:color="000000" w:sz="4" w:space="0"/>
              <w:left w:val="single" w:color="000000" w:sz="4" w:space="0"/>
              <w:bottom w:val="single" w:color="000000" w:sz="4" w:space="0"/>
              <w:right w:val="single" w:color="000000" w:sz="4" w:space="0"/>
            </w:tcBorders>
            <w:vAlign w:val="center"/>
          </w:tcPr>
          <w:p w14:paraId="6D7A88F3">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认定级别</w:t>
            </w:r>
          </w:p>
        </w:tc>
        <w:tc>
          <w:tcPr>
            <w:tcW w:w="8060" w:type="dxa"/>
            <w:tcBorders>
              <w:top w:val="single" w:color="000000" w:sz="4" w:space="0"/>
              <w:left w:val="single" w:color="000000" w:sz="4" w:space="0"/>
              <w:bottom w:val="single" w:color="000000" w:sz="4" w:space="0"/>
              <w:right w:val="single" w:color="000000" w:sz="4" w:space="0"/>
            </w:tcBorders>
            <w:vAlign w:val="center"/>
          </w:tcPr>
          <w:p w14:paraId="1C1FED32">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课题类型</w:t>
            </w:r>
          </w:p>
        </w:tc>
      </w:tr>
      <w:tr w14:paraId="097D5A7F">
        <w:tblPrEx>
          <w:tblCellMar>
            <w:top w:w="0" w:type="dxa"/>
            <w:left w:w="108" w:type="dxa"/>
            <w:bottom w:w="0" w:type="dxa"/>
            <w:right w:w="108" w:type="dxa"/>
          </w:tblCellMar>
        </w:tblPrEx>
        <w:trPr>
          <w:trHeight w:val="567" w:hRule="atLeast"/>
          <w:jc w:val="center"/>
        </w:trPr>
        <w:tc>
          <w:tcPr>
            <w:tcW w:w="1020" w:type="dxa"/>
            <w:vMerge w:val="restart"/>
            <w:tcBorders>
              <w:top w:val="single" w:color="000000" w:sz="4" w:space="0"/>
              <w:left w:val="single" w:color="000000" w:sz="4" w:space="0"/>
              <w:bottom w:val="nil"/>
              <w:right w:val="single" w:color="000000" w:sz="4" w:space="0"/>
            </w:tcBorders>
            <w:noWrap/>
            <w:vAlign w:val="center"/>
          </w:tcPr>
          <w:p w14:paraId="0BE61C1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c>
          <w:tcPr>
            <w:tcW w:w="969" w:type="dxa"/>
            <w:vMerge w:val="restart"/>
            <w:tcBorders>
              <w:top w:val="single" w:color="000000" w:sz="4" w:space="0"/>
              <w:left w:val="single" w:color="000000" w:sz="4" w:space="0"/>
              <w:bottom w:val="single" w:color="000000" w:sz="4" w:space="0"/>
              <w:right w:val="single" w:color="000000" w:sz="4" w:space="0"/>
            </w:tcBorders>
            <w:vAlign w:val="center"/>
          </w:tcPr>
          <w:p w14:paraId="56DF395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A类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0E44062E">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国家自然科学基金（国家自然科学基金委员会）</w:t>
            </w:r>
          </w:p>
        </w:tc>
      </w:tr>
      <w:tr w14:paraId="3A017E48">
        <w:tblPrEx>
          <w:tblCellMar>
            <w:top w:w="0" w:type="dxa"/>
            <w:left w:w="108" w:type="dxa"/>
            <w:bottom w:w="0" w:type="dxa"/>
            <w:right w:w="108" w:type="dxa"/>
          </w:tblCellMar>
        </w:tblPrEx>
        <w:trPr>
          <w:trHeight w:val="567" w:hRule="atLeast"/>
          <w:jc w:val="center"/>
        </w:trPr>
        <w:tc>
          <w:tcPr>
            <w:tcW w:w="1020" w:type="dxa"/>
            <w:vMerge w:val="continue"/>
            <w:tcBorders>
              <w:top w:val="single" w:color="000000" w:sz="4" w:space="0"/>
              <w:left w:val="single" w:color="000000" w:sz="4" w:space="0"/>
              <w:bottom w:val="nil"/>
              <w:right w:val="single" w:color="000000" w:sz="4" w:space="0"/>
            </w:tcBorders>
            <w:noWrap/>
            <w:vAlign w:val="center"/>
          </w:tcPr>
          <w:p w14:paraId="2CBF1D6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top w:val="single" w:color="000000" w:sz="4" w:space="0"/>
              <w:left w:val="single" w:color="000000" w:sz="4" w:space="0"/>
              <w:bottom w:val="single" w:color="000000" w:sz="4" w:space="0"/>
              <w:right w:val="single" w:color="000000" w:sz="4" w:space="0"/>
            </w:tcBorders>
            <w:vAlign w:val="center"/>
          </w:tcPr>
          <w:p w14:paraId="3261FF5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2BA95622">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国家社会科学基金（国家哲学社会科学办公室）</w:t>
            </w:r>
          </w:p>
        </w:tc>
      </w:tr>
      <w:tr w14:paraId="3F8BE4FF">
        <w:tblPrEx>
          <w:tblCellMar>
            <w:top w:w="0" w:type="dxa"/>
            <w:left w:w="108" w:type="dxa"/>
            <w:bottom w:w="0" w:type="dxa"/>
            <w:right w:w="108" w:type="dxa"/>
          </w:tblCellMar>
        </w:tblPrEx>
        <w:trPr>
          <w:trHeight w:val="567" w:hRule="atLeast"/>
          <w:jc w:val="center"/>
        </w:trPr>
        <w:tc>
          <w:tcPr>
            <w:tcW w:w="1020" w:type="dxa"/>
            <w:vMerge w:val="continue"/>
            <w:tcBorders>
              <w:top w:val="single" w:color="000000" w:sz="4" w:space="0"/>
              <w:left w:val="single" w:color="000000" w:sz="4" w:space="0"/>
              <w:bottom w:val="nil"/>
              <w:right w:val="single" w:color="000000" w:sz="4" w:space="0"/>
            </w:tcBorders>
            <w:noWrap/>
            <w:vAlign w:val="center"/>
          </w:tcPr>
          <w:p w14:paraId="5F14D3B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restart"/>
            <w:tcBorders>
              <w:top w:val="single" w:color="000000" w:sz="4" w:space="0"/>
              <w:left w:val="single" w:color="000000" w:sz="4" w:space="0"/>
              <w:bottom w:val="nil"/>
              <w:right w:val="single" w:color="000000" w:sz="4" w:space="0"/>
            </w:tcBorders>
            <w:vAlign w:val="center"/>
          </w:tcPr>
          <w:p w14:paraId="487B2C3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B类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41A552D5">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教育部人文社会科学研究一般项目（教育部社会科学司）</w:t>
            </w:r>
          </w:p>
        </w:tc>
      </w:tr>
      <w:tr w14:paraId="730246C0">
        <w:tblPrEx>
          <w:tblCellMar>
            <w:top w:w="0" w:type="dxa"/>
            <w:left w:w="108" w:type="dxa"/>
            <w:bottom w:w="0" w:type="dxa"/>
            <w:right w:w="108" w:type="dxa"/>
          </w:tblCellMar>
        </w:tblPrEx>
        <w:trPr>
          <w:trHeight w:val="567" w:hRule="atLeast"/>
          <w:jc w:val="center"/>
        </w:trPr>
        <w:tc>
          <w:tcPr>
            <w:tcW w:w="1020" w:type="dxa"/>
            <w:vMerge w:val="continue"/>
            <w:tcBorders>
              <w:top w:val="single" w:color="000000" w:sz="4" w:space="0"/>
              <w:left w:val="single" w:color="000000" w:sz="4" w:space="0"/>
              <w:bottom w:val="nil"/>
              <w:right w:val="single" w:color="000000" w:sz="4" w:space="0"/>
            </w:tcBorders>
            <w:noWrap/>
            <w:vAlign w:val="center"/>
          </w:tcPr>
          <w:p w14:paraId="79AB6ED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top w:val="single" w:color="000000" w:sz="4" w:space="0"/>
              <w:left w:val="single" w:color="000000" w:sz="4" w:space="0"/>
              <w:bottom w:val="nil"/>
              <w:right w:val="single" w:color="000000" w:sz="4" w:space="0"/>
            </w:tcBorders>
            <w:vAlign w:val="center"/>
          </w:tcPr>
          <w:p w14:paraId="182AF19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0C07FA82">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全国教育科学“XX五”规划课题（全国教育科学规划领导小组办公室）</w:t>
            </w:r>
          </w:p>
        </w:tc>
      </w:tr>
      <w:tr w14:paraId="064711AC">
        <w:tblPrEx>
          <w:tblCellMar>
            <w:top w:w="0" w:type="dxa"/>
            <w:left w:w="108" w:type="dxa"/>
            <w:bottom w:w="0" w:type="dxa"/>
            <w:right w:w="108" w:type="dxa"/>
          </w:tblCellMar>
        </w:tblPrEx>
        <w:trPr>
          <w:trHeight w:val="567" w:hRule="atLeast"/>
          <w:jc w:val="center"/>
        </w:trPr>
        <w:tc>
          <w:tcPr>
            <w:tcW w:w="1020" w:type="dxa"/>
            <w:vMerge w:val="restart"/>
            <w:tcBorders>
              <w:top w:val="single" w:color="000000" w:sz="4" w:space="0"/>
              <w:left w:val="single" w:color="000000" w:sz="4" w:space="0"/>
              <w:right w:val="single" w:color="000000" w:sz="4" w:space="0"/>
            </w:tcBorders>
            <w:vAlign w:val="center"/>
          </w:tcPr>
          <w:p w14:paraId="4EF9DAC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c>
          <w:tcPr>
            <w:tcW w:w="969" w:type="dxa"/>
            <w:vMerge w:val="restart"/>
            <w:tcBorders>
              <w:top w:val="single" w:color="000000" w:sz="4" w:space="0"/>
              <w:left w:val="single" w:color="000000" w:sz="4" w:space="0"/>
              <w:right w:val="single" w:color="000000" w:sz="4" w:space="0"/>
            </w:tcBorders>
            <w:noWrap/>
            <w:vAlign w:val="center"/>
          </w:tcPr>
          <w:p w14:paraId="5B421DB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A类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5F72A9BB">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省自然科学基金（</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省自然科学基金委员会）</w:t>
            </w:r>
          </w:p>
        </w:tc>
      </w:tr>
      <w:tr w14:paraId="53008E3A">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3AF5D54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0CD1844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63B68700">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省社会科学基金（</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省哲学社会科学办公室）</w:t>
            </w:r>
          </w:p>
        </w:tc>
      </w:tr>
      <w:tr w14:paraId="4B05761B">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2F50454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79E84AA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3815CFF9">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省科技计划项目（</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省科技厅，经费资助项目）</w:t>
            </w:r>
          </w:p>
        </w:tc>
      </w:tr>
      <w:tr w14:paraId="2A2C0238">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7F2C258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bottom w:val="single" w:color="000000" w:sz="4" w:space="0"/>
              <w:right w:val="single" w:color="000000" w:sz="4" w:space="0"/>
            </w:tcBorders>
            <w:noWrap/>
            <w:vAlign w:val="center"/>
          </w:tcPr>
          <w:p w14:paraId="0960D4C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49CDEF69">
            <w:pPr>
              <w:keepNext w:val="0"/>
              <w:keepLines w:val="0"/>
              <w:pageBreakBefore w:val="0"/>
              <w:widowControl w:val="0"/>
              <w:kinsoku/>
              <w:wordWrap/>
              <w:overflowPunct/>
              <w:topLinePunct w:val="0"/>
              <w:bidi w:val="0"/>
              <w:adjustRightInd/>
              <w:snapToGrid/>
              <w:textAlignment w:val="center"/>
              <w:rPr>
                <w:rFonts w:hint="eastAsia" w:ascii="宋体" w:hAnsi="宋体" w:cs="宋体"/>
                <w:color w:val="auto"/>
                <w:sz w:val="22"/>
                <w:szCs w:val="22"/>
                <w:lang w:bidi="ar"/>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省人才强冀项目（</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省委组织部，经费资助项目）</w:t>
            </w:r>
          </w:p>
        </w:tc>
      </w:tr>
      <w:tr w14:paraId="4CBC7B6B">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74EEC6F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restart"/>
            <w:tcBorders>
              <w:top w:val="single" w:color="000000" w:sz="4" w:space="0"/>
              <w:left w:val="single" w:color="000000" w:sz="4" w:space="0"/>
              <w:right w:val="single" w:color="000000" w:sz="4" w:space="0"/>
            </w:tcBorders>
            <w:noWrap/>
            <w:vAlign w:val="center"/>
          </w:tcPr>
          <w:p w14:paraId="14CEB0A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Style w:val="8"/>
                <w:rFonts w:hint="eastAsia" w:ascii="宋体" w:hAnsi="宋体" w:cs="宋体"/>
                <w:color w:val="auto"/>
                <w:sz w:val="22"/>
                <w:szCs w:val="22"/>
                <w:lang w:bidi="ar"/>
              </w:rPr>
              <w:t>B</w:t>
            </w:r>
            <w:r>
              <w:rPr>
                <w:rStyle w:val="9"/>
                <w:rFonts w:hint="default"/>
                <w:color w:val="auto"/>
                <w:sz w:val="22"/>
                <w:szCs w:val="22"/>
                <w:lang w:bidi="ar"/>
              </w:rPr>
              <w:t>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283D1538">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省科技厅计划项目（</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省科技厅，自筹经费项目）</w:t>
            </w:r>
          </w:p>
        </w:tc>
      </w:tr>
      <w:tr w14:paraId="145E45D6">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78C1225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422895C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17D716B9">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省社科联社会发展研究和民生调研课题（</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省社科联）</w:t>
            </w:r>
          </w:p>
        </w:tc>
      </w:tr>
      <w:tr w14:paraId="3B29D29E">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3591168C">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02D04E0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21C67CC4">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省教育科学研究规划课题（</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省教育科学规划办公室，</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省教育厅教育科学研究所）</w:t>
            </w:r>
          </w:p>
        </w:tc>
      </w:tr>
      <w:tr w14:paraId="20C69D86">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43BB4AC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5D2FE87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454E254F">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省教育厅科学研究计划项目（</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省教育厅科技处）</w:t>
            </w:r>
          </w:p>
        </w:tc>
      </w:tr>
      <w:tr w14:paraId="381CFE1B">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6E2BD99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bottom w:val="single" w:color="000000" w:sz="4" w:space="0"/>
              <w:right w:val="single" w:color="000000" w:sz="4" w:space="0"/>
            </w:tcBorders>
            <w:noWrap/>
            <w:vAlign w:val="center"/>
          </w:tcPr>
          <w:p w14:paraId="6A32F5E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5856778C">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省教育厅教学改革项目（</w:t>
            </w: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省教育厅高教处）</w:t>
            </w:r>
          </w:p>
        </w:tc>
      </w:tr>
      <w:tr w14:paraId="7A7FC30B">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511C1A4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restart"/>
            <w:tcBorders>
              <w:top w:val="single" w:color="000000" w:sz="4" w:space="0"/>
              <w:left w:val="single" w:color="000000" w:sz="4" w:space="0"/>
              <w:right w:val="single" w:color="000000" w:sz="4" w:space="0"/>
            </w:tcBorders>
            <w:noWrap/>
            <w:vAlign w:val="center"/>
          </w:tcPr>
          <w:p w14:paraId="60B2750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Style w:val="8"/>
                <w:rFonts w:hint="eastAsia" w:ascii="宋体" w:hAnsi="宋体" w:cs="宋体"/>
                <w:color w:val="auto"/>
                <w:sz w:val="22"/>
                <w:szCs w:val="22"/>
                <w:lang w:bidi="ar"/>
              </w:rPr>
              <w:t>C</w:t>
            </w:r>
            <w:r>
              <w:rPr>
                <w:rStyle w:val="9"/>
                <w:rFonts w:hint="default"/>
                <w:color w:val="auto"/>
                <w:sz w:val="22"/>
                <w:szCs w:val="22"/>
                <w:lang w:bidi="ar"/>
              </w:rPr>
              <w:t>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12A36824">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黄炎培职业教育思想研究规划课题（中华职业教育社）</w:t>
            </w:r>
          </w:p>
        </w:tc>
      </w:tr>
      <w:tr w14:paraId="0D8E5C7A">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0750DC3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noWrap/>
            <w:vAlign w:val="center"/>
          </w:tcPr>
          <w:p w14:paraId="22296D7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0752F133">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职业教育改革创新课题（教育部行指委工作办公室）</w:t>
            </w:r>
          </w:p>
        </w:tc>
      </w:tr>
      <w:tr w14:paraId="50FBC3F0">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10DC66C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right w:val="single" w:color="000000" w:sz="4" w:space="0"/>
            </w:tcBorders>
            <w:vAlign w:val="center"/>
          </w:tcPr>
          <w:p w14:paraId="0BBA1A0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5F55BE10">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河北</w:t>
            </w:r>
            <w:r>
              <w:rPr>
                <w:rFonts w:hint="eastAsia" w:ascii="宋体" w:hAnsi="宋体" w:cs="宋体"/>
                <w:color w:val="auto"/>
                <w:sz w:val="22"/>
                <w:szCs w:val="22"/>
                <w:lang w:bidi="ar"/>
              </w:rPr>
              <w:t>省人力资源与社会保障厅课题</w:t>
            </w:r>
          </w:p>
        </w:tc>
      </w:tr>
      <w:tr w14:paraId="7E79A5A1">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bottom w:val="nil"/>
              <w:right w:val="single" w:color="000000" w:sz="4" w:space="0"/>
            </w:tcBorders>
            <w:vAlign w:val="center"/>
          </w:tcPr>
          <w:p w14:paraId="71F8323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continue"/>
            <w:tcBorders>
              <w:left w:val="single" w:color="000000" w:sz="4" w:space="0"/>
              <w:bottom w:val="single" w:color="000000" w:sz="4" w:space="0"/>
              <w:right w:val="single" w:color="000000" w:sz="4" w:space="0"/>
            </w:tcBorders>
            <w:vAlign w:val="center"/>
          </w:tcPr>
          <w:p w14:paraId="72BFAD7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68284C69">
            <w:pPr>
              <w:keepNext w:val="0"/>
              <w:keepLines w:val="0"/>
              <w:pageBreakBefore w:val="0"/>
              <w:widowControl w:val="0"/>
              <w:kinsoku/>
              <w:wordWrap/>
              <w:overflowPunct/>
              <w:topLinePunct w:val="0"/>
              <w:bidi w:val="0"/>
              <w:adjustRightInd/>
              <w:snapToGrid/>
              <w:textAlignment w:val="center"/>
              <w:rPr>
                <w:rFonts w:hint="eastAsia" w:ascii="宋体" w:hAnsi="宋体" w:cs="宋体"/>
                <w:color w:val="auto"/>
                <w:sz w:val="22"/>
                <w:szCs w:val="22"/>
                <w:lang w:bidi="ar"/>
              </w:rPr>
            </w:pPr>
            <w:r>
              <w:rPr>
                <w:rFonts w:hint="eastAsia" w:ascii="宋体" w:hAnsi="宋体" w:cs="宋体"/>
                <w:color w:val="auto"/>
                <w:sz w:val="22"/>
                <w:szCs w:val="22"/>
              </w:rPr>
              <w:t>中国高教学会、中国职业教育学会、教育部行指委、教育部教指委课题</w:t>
            </w:r>
          </w:p>
        </w:tc>
      </w:tr>
      <w:tr w14:paraId="40D132C4">
        <w:tblPrEx>
          <w:tblCellMar>
            <w:top w:w="0" w:type="dxa"/>
            <w:left w:w="108" w:type="dxa"/>
            <w:bottom w:w="0" w:type="dxa"/>
            <w:right w:w="108" w:type="dxa"/>
          </w:tblCellMar>
        </w:tblPrEx>
        <w:trPr>
          <w:trHeight w:val="567" w:hRule="atLeast"/>
          <w:jc w:val="center"/>
        </w:trPr>
        <w:tc>
          <w:tcPr>
            <w:tcW w:w="1020" w:type="dxa"/>
            <w:vMerge w:val="restart"/>
            <w:tcBorders>
              <w:top w:val="single" w:color="000000" w:sz="4" w:space="0"/>
              <w:left w:val="single" w:color="000000" w:sz="4" w:space="0"/>
              <w:right w:val="single" w:color="000000" w:sz="4" w:space="0"/>
            </w:tcBorders>
            <w:vAlign w:val="center"/>
          </w:tcPr>
          <w:p w14:paraId="4D2AB96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市级</w:t>
            </w:r>
          </w:p>
        </w:tc>
        <w:tc>
          <w:tcPr>
            <w:tcW w:w="969" w:type="dxa"/>
            <w:tcBorders>
              <w:top w:val="single" w:color="000000" w:sz="4" w:space="0"/>
              <w:left w:val="single" w:color="000000" w:sz="4" w:space="0"/>
              <w:bottom w:val="single" w:color="000000" w:sz="4" w:space="0"/>
              <w:right w:val="single" w:color="000000" w:sz="4" w:space="0"/>
            </w:tcBorders>
            <w:vAlign w:val="center"/>
          </w:tcPr>
          <w:p w14:paraId="0DBC3EC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A类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109583A4">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val="en-US" w:eastAsia="zh-CN" w:bidi="ar"/>
              </w:rPr>
              <w:t>秦皇岛</w:t>
            </w:r>
            <w:r>
              <w:rPr>
                <w:rFonts w:hint="eastAsia" w:ascii="宋体" w:hAnsi="宋体" w:cs="宋体"/>
                <w:color w:val="auto"/>
                <w:sz w:val="22"/>
                <w:szCs w:val="22"/>
                <w:lang w:bidi="ar"/>
              </w:rPr>
              <w:t>市科技局、</w:t>
            </w:r>
            <w:r>
              <w:rPr>
                <w:rFonts w:hint="eastAsia" w:ascii="宋体" w:hAnsi="宋体" w:cs="宋体"/>
                <w:color w:val="auto"/>
                <w:sz w:val="22"/>
                <w:szCs w:val="22"/>
                <w:lang w:val="en-US" w:eastAsia="zh-CN" w:bidi="ar"/>
              </w:rPr>
              <w:t>秦皇岛</w:t>
            </w:r>
            <w:r>
              <w:rPr>
                <w:rFonts w:hint="eastAsia" w:ascii="宋体" w:hAnsi="宋体" w:cs="宋体"/>
                <w:color w:val="auto"/>
                <w:sz w:val="22"/>
                <w:szCs w:val="22"/>
                <w:lang w:bidi="ar"/>
              </w:rPr>
              <w:t>市社科联、</w:t>
            </w:r>
            <w:r>
              <w:rPr>
                <w:rFonts w:hint="eastAsia" w:ascii="宋体" w:hAnsi="宋体" w:cs="宋体"/>
                <w:color w:val="auto"/>
                <w:sz w:val="22"/>
                <w:szCs w:val="22"/>
                <w:lang w:val="en-US" w:eastAsia="zh-CN" w:bidi="ar"/>
              </w:rPr>
              <w:t>秦皇岛</w:t>
            </w:r>
            <w:r>
              <w:rPr>
                <w:rFonts w:hint="eastAsia" w:ascii="宋体" w:hAnsi="宋体" w:cs="宋体"/>
                <w:color w:val="auto"/>
                <w:sz w:val="22"/>
                <w:szCs w:val="22"/>
                <w:lang w:bidi="ar"/>
              </w:rPr>
              <w:t>市教育局课题</w:t>
            </w:r>
          </w:p>
        </w:tc>
      </w:tr>
      <w:tr w14:paraId="1426DEFE">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right w:val="single" w:color="000000" w:sz="4" w:space="0"/>
            </w:tcBorders>
            <w:vAlign w:val="center"/>
          </w:tcPr>
          <w:p w14:paraId="443D292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69" w:type="dxa"/>
            <w:vMerge w:val="restart"/>
            <w:tcBorders>
              <w:top w:val="single" w:color="000000" w:sz="4" w:space="0"/>
              <w:left w:val="single" w:color="000000" w:sz="4" w:space="0"/>
              <w:right w:val="single" w:color="000000" w:sz="4" w:space="0"/>
            </w:tcBorders>
            <w:vAlign w:val="center"/>
          </w:tcPr>
          <w:p w14:paraId="6A8ED4F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rPr>
              <w:t>B类</w:t>
            </w:r>
          </w:p>
        </w:tc>
        <w:tc>
          <w:tcPr>
            <w:tcW w:w="8060" w:type="dxa"/>
            <w:tcBorders>
              <w:top w:val="single" w:color="000000" w:sz="4" w:space="0"/>
              <w:left w:val="single" w:color="000000" w:sz="4" w:space="0"/>
              <w:bottom w:val="single" w:color="000000" w:sz="4" w:space="0"/>
              <w:right w:val="single" w:color="000000" w:sz="4" w:space="0"/>
            </w:tcBorders>
            <w:vAlign w:val="center"/>
          </w:tcPr>
          <w:p w14:paraId="0F302F21">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rPr>
              <w:t>其他市级以上政府部门下达的课题</w:t>
            </w:r>
          </w:p>
        </w:tc>
      </w:tr>
      <w:tr w14:paraId="6D5B1099">
        <w:tblPrEx>
          <w:tblCellMar>
            <w:top w:w="0" w:type="dxa"/>
            <w:left w:w="108" w:type="dxa"/>
            <w:bottom w:w="0" w:type="dxa"/>
            <w:right w:w="108" w:type="dxa"/>
          </w:tblCellMar>
        </w:tblPrEx>
        <w:trPr>
          <w:trHeight w:val="567" w:hRule="atLeast"/>
          <w:jc w:val="center"/>
        </w:trPr>
        <w:tc>
          <w:tcPr>
            <w:tcW w:w="1020" w:type="dxa"/>
            <w:vMerge w:val="continue"/>
            <w:tcBorders>
              <w:left w:val="single" w:color="000000" w:sz="4" w:space="0"/>
              <w:bottom w:val="single" w:color="000000" w:sz="4" w:space="0"/>
              <w:right w:val="single" w:color="000000" w:sz="4" w:space="0"/>
            </w:tcBorders>
            <w:vAlign w:val="center"/>
          </w:tcPr>
          <w:p w14:paraId="7BB29081">
            <w:pPr>
              <w:keepNext w:val="0"/>
              <w:keepLines w:val="0"/>
              <w:pageBreakBefore w:val="0"/>
              <w:widowControl w:val="0"/>
              <w:kinsoku/>
              <w:wordWrap/>
              <w:overflowPunct/>
              <w:topLinePunct w:val="0"/>
              <w:bidi w:val="0"/>
              <w:adjustRightInd/>
              <w:snapToGrid/>
              <w:rPr>
                <w:rFonts w:ascii="宋体" w:hAnsi="宋体" w:cs="宋体"/>
                <w:color w:val="auto"/>
                <w:sz w:val="22"/>
                <w:szCs w:val="22"/>
              </w:rPr>
            </w:pPr>
          </w:p>
        </w:tc>
        <w:tc>
          <w:tcPr>
            <w:tcW w:w="969" w:type="dxa"/>
            <w:vMerge w:val="continue"/>
            <w:tcBorders>
              <w:left w:val="single" w:color="000000" w:sz="4" w:space="0"/>
              <w:bottom w:val="single" w:color="000000" w:sz="4" w:space="0"/>
              <w:right w:val="single" w:color="000000" w:sz="4" w:space="0"/>
            </w:tcBorders>
            <w:vAlign w:val="center"/>
          </w:tcPr>
          <w:p w14:paraId="7050DBA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8060" w:type="dxa"/>
            <w:tcBorders>
              <w:top w:val="single" w:color="000000" w:sz="4" w:space="0"/>
              <w:left w:val="single" w:color="000000" w:sz="4" w:space="0"/>
              <w:bottom w:val="single" w:color="000000" w:sz="4" w:space="0"/>
              <w:right w:val="single" w:color="000000" w:sz="4" w:space="0"/>
            </w:tcBorders>
            <w:vAlign w:val="center"/>
          </w:tcPr>
          <w:p w14:paraId="3D2A18F9">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rPr>
              <w:t>其他政府指定或授权的国家级协会、学会、研究会课题</w:t>
            </w:r>
          </w:p>
        </w:tc>
      </w:tr>
    </w:tbl>
    <w:p w14:paraId="055C91F4">
      <w:pPr>
        <w:keepNext w:val="0"/>
        <w:keepLines w:val="0"/>
        <w:pageBreakBefore w:val="0"/>
        <w:widowControl w:val="0"/>
        <w:kinsoku/>
        <w:wordWrap/>
        <w:overflowPunct/>
        <w:topLinePunct w:val="0"/>
        <w:bidi w:val="0"/>
        <w:adjustRightInd/>
        <w:snapToGrid/>
        <w:rPr>
          <w:color w:val="auto"/>
        </w:rPr>
      </w:pPr>
      <w:r>
        <w:rPr>
          <w:color w:val="auto"/>
        </w:rPr>
        <w:br w:type="page"/>
      </w:r>
    </w:p>
    <w:p w14:paraId="03E7D8DA">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黑体" w:hAnsi="黑体" w:eastAsia="黑体" w:cs="黑体"/>
          <w:color w:val="auto"/>
          <w:sz w:val="24"/>
          <w:szCs w:val="28"/>
        </w:rPr>
      </w:pPr>
      <w:r>
        <w:rPr>
          <w:rFonts w:hint="eastAsia" w:ascii="黑体" w:hAnsi="黑体" w:eastAsia="黑体" w:cs="黑体"/>
          <w:color w:val="auto"/>
          <w:sz w:val="24"/>
          <w:szCs w:val="28"/>
        </w:rPr>
        <w:t>附录5</w:t>
      </w:r>
    </w:p>
    <w:tbl>
      <w:tblPr>
        <w:tblStyle w:val="4"/>
        <w:tblW w:w="10102" w:type="dxa"/>
        <w:jc w:val="center"/>
        <w:tblLayout w:type="autofit"/>
        <w:tblCellMar>
          <w:top w:w="0" w:type="dxa"/>
          <w:left w:w="108" w:type="dxa"/>
          <w:bottom w:w="0" w:type="dxa"/>
          <w:right w:w="108" w:type="dxa"/>
        </w:tblCellMar>
      </w:tblPr>
      <w:tblGrid>
        <w:gridCol w:w="1919"/>
        <w:gridCol w:w="3605"/>
        <w:gridCol w:w="2820"/>
        <w:gridCol w:w="1758"/>
      </w:tblGrid>
      <w:tr w14:paraId="18D1F545">
        <w:tblPrEx>
          <w:tblCellMar>
            <w:top w:w="0" w:type="dxa"/>
            <w:left w:w="108" w:type="dxa"/>
            <w:bottom w:w="0" w:type="dxa"/>
            <w:right w:w="108" w:type="dxa"/>
          </w:tblCellMar>
        </w:tblPrEx>
        <w:trPr>
          <w:trHeight w:val="720" w:hRule="atLeast"/>
          <w:jc w:val="center"/>
        </w:trPr>
        <w:tc>
          <w:tcPr>
            <w:tcW w:w="10102" w:type="dxa"/>
            <w:gridSpan w:val="4"/>
            <w:tcBorders>
              <w:top w:val="nil"/>
              <w:left w:val="nil"/>
              <w:bottom w:val="nil"/>
              <w:right w:val="nil"/>
            </w:tcBorders>
            <w:vAlign w:val="center"/>
          </w:tcPr>
          <w:p w14:paraId="0E9DD269">
            <w:pPr>
              <w:keepNext w:val="0"/>
              <w:keepLines w:val="0"/>
              <w:pageBreakBefore w:val="0"/>
              <w:widowControl w:val="0"/>
              <w:kinsoku/>
              <w:wordWrap/>
              <w:overflowPunct/>
              <w:topLinePunct w:val="0"/>
              <w:bidi w:val="0"/>
              <w:adjustRightInd/>
              <w:snapToGrid/>
              <w:jc w:val="center"/>
              <w:textAlignment w:val="center"/>
              <w:rPr>
                <w:b/>
                <w:bCs/>
                <w:color w:val="auto"/>
                <w:sz w:val="32"/>
                <w:szCs w:val="32"/>
              </w:rPr>
            </w:pPr>
            <w:r>
              <w:rPr>
                <w:rFonts w:hint="eastAsia" w:ascii="方正小标宋简体" w:hAnsi="方正小标宋简体" w:eastAsia="方正小标宋简体" w:cs="方正小标宋简体"/>
                <w:color w:val="auto"/>
                <w:sz w:val="32"/>
                <w:szCs w:val="32"/>
                <w:lang w:bidi="ar"/>
              </w:rPr>
              <w:t>教学及科研成果奖目录</w:t>
            </w:r>
          </w:p>
        </w:tc>
      </w:tr>
      <w:tr w14:paraId="499D759F">
        <w:tblPrEx>
          <w:tblCellMar>
            <w:top w:w="0" w:type="dxa"/>
            <w:left w:w="108" w:type="dxa"/>
            <w:bottom w:w="0" w:type="dxa"/>
            <w:right w:w="108" w:type="dxa"/>
          </w:tblCellMar>
        </w:tblPrEx>
        <w:trPr>
          <w:trHeight w:val="480"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192E1433">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类别</w:t>
            </w:r>
          </w:p>
        </w:tc>
        <w:tc>
          <w:tcPr>
            <w:tcW w:w="3605" w:type="dxa"/>
            <w:tcBorders>
              <w:top w:val="single" w:color="000000" w:sz="4" w:space="0"/>
              <w:left w:val="single" w:color="000000" w:sz="4" w:space="0"/>
              <w:bottom w:val="single" w:color="000000" w:sz="4" w:space="0"/>
              <w:right w:val="single" w:color="000000" w:sz="4" w:space="0"/>
            </w:tcBorders>
            <w:vAlign w:val="center"/>
          </w:tcPr>
          <w:p w14:paraId="26EC4AF8">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获奖名称</w:t>
            </w:r>
          </w:p>
        </w:tc>
        <w:tc>
          <w:tcPr>
            <w:tcW w:w="2820" w:type="dxa"/>
            <w:tcBorders>
              <w:top w:val="single" w:color="000000" w:sz="4" w:space="0"/>
              <w:left w:val="single" w:color="000000" w:sz="4" w:space="0"/>
              <w:bottom w:val="single" w:color="000000" w:sz="4" w:space="0"/>
              <w:right w:val="single" w:color="000000" w:sz="4" w:space="0"/>
            </w:tcBorders>
            <w:vAlign w:val="center"/>
          </w:tcPr>
          <w:p w14:paraId="5330D281">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举办机构</w:t>
            </w:r>
          </w:p>
        </w:tc>
        <w:tc>
          <w:tcPr>
            <w:tcW w:w="1758" w:type="dxa"/>
            <w:tcBorders>
              <w:top w:val="single" w:color="000000" w:sz="4" w:space="0"/>
              <w:left w:val="single" w:color="000000" w:sz="4" w:space="0"/>
              <w:bottom w:val="single" w:color="000000" w:sz="4" w:space="0"/>
              <w:right w:val="single" w:color="000000" w:sz="4" w:space="0"/>
            </w:tcBorders>
            <w:vAlign w:val="center"/>
          </w:tcPr>
          <w:p w14:paraId="637486AF">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认定级别</w:t>
            </w:r>
          </w:p>
        </w:tc>
      </w:tr>
      <w:tr w14:paraId="4D595554">
        <w:tblPrEx>
          <w:tblCellMar>
            <w:top w:w="0" w:type="dxa"/>
            <w:left w:w="108" w:type="dxa"/>
            <w:bottom w:w="0" w:type="dxa"/>
            <w:right w:w="108" w:type="dxa"/>
          </w:tblCellMar>
        </w:tblPrEx>
        <w:trPr>
          <w:trHeight w:val="779" w:hRule="atLeast"/>
          <w:jc w:val="center"/>
        </w:trPr>
        <w:tc>
          <w:tcPr>
            <w:tcW w:w="1919" w:type="dxa"/>
            <w:vMerge w:val="restart"/>
            <w:tcBorders>
              <w:top w:val="single" w:color="000000" w:sz="4" w:space="0"/>
              <w:left w:val="single" w:color="000000" w:sz="4" w:space="0"/>
              <w:bottom w:val="single" w:color="000000" w:sz="4" w:space="0"/>
              <w:right w:val="single" w:color="000000" w:sz="4" w:space="0"/>
            </w:tcBorders>
            <w:vAlign w:val="center"/>
          </w:tcPr>
          <w:p w14:paraId="5C6C166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自然科学成果奖</w:t>
            </w:r>
          </w:p>
        </w:tc>
        <w:tc>
          <w:tcPr>
            <w:tcW w:w="3605" w:type="dxa"/>
            <w:tcBorders>
              <w:top w:val="single" w:color="000000" w:sz="4" w:space="0"/>
              <w:left w:val="single" w:color="000000" w:sz="4" w:space="0"/>
              <w:bottom w:val="single" w:color="000000" w:sz="4" w:space="0"/>
              <w:right w:val="single" w:color="000000" w:sz="4" w:space="0"/>
            </w:tcBorders>
            <w:vAlign w:val="center"/>
          </w:tcPr>
          <w:p w14:paraId="2E9805A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国家自然科学奖、技术发明奖、科技进步奖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0DF7212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国务院</w:t>
            </w:r>
          </w:p>
        </w:tc>
        <w:tc>
          <w:tcPr>
            <w:tcW w:w="1758" w:type="dxa"/>
            <w:tcBorders>
              <w:top w:val="single" w:color="000000" w:sz="4" w:space="0"/>
              <w:left w:val="single" w:color="000000" w:sz="4" w:space="0"/>
              <w:bottom w:val="single" w:color="000000" w:sz="4" w:space="0"/>
              <w:right w:val="single" w:color="000000" w:sz="4" w:space="0"/>
            </w:tcBorders>
            <w:vAlign w:val="center"/>
          </w:tcPr>
          <w:p w14:paraId="314979A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4757F4A4">
        <w:tblPrEx>
          <w:tblCellMar>
            <w:top w:w="0" w:type="dxa"/>
            <w:left w:w="108" w:type="dxa"/>
            <w:bottom w:w="0" w:type="dxa"/>
            <w:right w:w="108" w:type="dxa"/>
          </w:tblCellMar>
        </w:tblPrEx>
        <w:trPr>
          <w:trHeight w:val="779"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vAlign w:val="center"/>
          </w:tcPr>
          <w:p w14:paraId="67AEF11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1585751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河北省自然科学奖、技术发明奖、科技进步奖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654C3B3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河北省人民政府</w:t>
            </w:r>
          </w:p>
        </w:tc>
        <w:tc>
          <w:tcPr>
            <w:tcW w:w="1758" w:type="dxa"/>
            <w:tcBorders>
              <w:top w:val="single" w:color="000000" w:sz="4" w:space="0"/>
              <w:left w:val="single" w:color="000000" w:sz="4" w:space="0"/>
              <w:bottom w:val="single" w:color="000000" w:sz="4" w:space="0"/>
              <w:right w:val="single" w:color="000000" w:sz="4" w:space="0"/>
            </w:tcBorders>
            <w:vAlign w:val="center"/>
          </w:tcPr>
          <w:p w14:paraId="5C000F1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01B54BD1">
        <w:tblPrEx>
          <w:tblCellMar>
            <w:top w:w="0" w:type="dxa"/>
            <w:left w:w="108" w:type="dxa"/>
            <w:bottom w:w="0" w:type="dxa"/>
            <w:right w:w="108" w:type="dxa"/>
          </w:tblCellMar>
        </w:tblPrEx>
        <w:trPr>
          <w:trHeight w:val="779"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vAlign w:val="center"/>
          </w:tcPr>
          <w:p w14:paraId="0043B19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0710003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秦皇岛市科技进步奖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3FF1741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秦皇岛市人民政府</w:t>
            </w:r>
          </w:p>
        </w:tc>
        <w:tc>
          <w:tcPr>
            <w:tcW w:w="1758" w:type="dxa"/>
            <w:tcBorders>
              <w:top w:val="single" w:color="000000" w:sz="4" w:space="0"/>
              <w:left w:val="single" w:color="000000" w:sz="4" w:space="0"/>
              <w:bottom w:val="single" w:color="000000" w:sz="4" w:space="0"/>
              <w:right w:val="single" w:color="000000" w:sz="4" w:space="0"/>
            </w:tcBorders>
            <w:vAlign w:val="center"/>
          </w:tcPr>
          <w:p w14:paraId="7E3C798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市级</w:t>
            </w:r>
          </w:p>
        </w:tc>
      </w:tr>
      <w:tr w14:paraId="4FAFCDA2">
        <w:tblPrEx>
          <w:tblCellMar>
            <w:top w:w="0" w:type="dxa"/>
            <w:left w:w="108" w:type="dxa"/>
            <w:bottom w:w="0" w:type="dxa"/>
            <w:right w:w="108" w:type="dxa"/>
          </w:tblCellMar>
        </w:tblPrEx>
        <w:trPr>
          <w:trHeight w:val="779" w:hRule="atLeast"/>
          <w:jc w:val="center"/>
        </w:trPr>
        <w:tc>
          <w:tcPr>
            <w:tcW w:w="1919" w:type="dxa"/>
            <w:tcBorders>
              <w:top w:val="single" w:color="000000" w:sz="4" w:space="0"/>
              <w:left w:val="single" w:color="000000" w:sz="4" w:space="0"/>
              <w:bottom w:val="single" w:color="000000" w:sz="4" w:space="0"/>
              <w:right w:val="single" w:color="000000" w:sz="4" w:space="0"/>
            </w:tcBorders>
            <w:vAlign w:val="center"/>
          </w:tcPr>
          <w:p w14:paraId="493BE1E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高等学校科学研究优秀成果奖</w:t>
            </w:r>
          </w:p>
        </w:tc>
        <w:tc>
          <w:tcPr>
            <w:tcW w:w="3605" w:type="dxa"/>
            <w:tcBorders>
              <w:top w:val="single" w:color="000000" w:sz="4" w:space="0"/>
              <w:left w:val="single" w:color="000000" w:sz="4" w:space="0"/>
              <w:bottom w:val="single" w:color="000000" w:sz="4" w:space="0"/>
              <w:right w:val="single" w:color="000000" w:sz="4" w:space="0"/>
            </w:tcBorders>
            <w:vAlign w:val="center"/>
          </w:tcPr>
          <w:p w14:paraId="3114634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对应的科学技术奖和人文社科奖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2FEB3C9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教育部</w:t>
            </w:r>
          </w:p>
        </w:tc>
        <w:tc>
          <w:tcPr>
            <w:tcW w:w="1758" w:type="dxa"/>
            <w:tcBorders>
              <w:top w:val="single" w:color="000000" w:sz="4" w:space="0"/>
              <w:left w:val="single" w:color="000000" w:sz="4" w:space="0"/>
              <w:bottom w:val="single" w:color="000000" w:sz="4" w:space="0"/>
              <w:right w:val="single" w:color="000000" w:sz="4" w:space="0"/>
            </w:tcBorders>
            <w:vAlign w:val="center"/>
          </w:tcPr>
          <w:p w14:paraId="3AD8CFD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3D5A72B5">
        <w:tblPrEx>
          <w:tblCellMar>
            <w:top w:w="0" w:type="dxa"/>
            <w:left w:w="108" w:type="dxa"/>
            <w:bottom w:w="0" w:type="dxa"/>
            <w:right w:w="108" w:type="dxa"/>
          </w:tblCellMar>
        </w:tblPrEx>
        <w:trPr>
          <w:trHeight w:val="779" w:hRule="atLeast"/>
          <w:jc w:val="center"/>
        </w:trPr>
        <w:tc>
          <w:tcPr>
            <w:tcW w:w="1919" w:type="dxa"/>
            <w:vMerge w:val="restart"/>
            <w:tcBorders>
              <w:top w:val="single" w:color="000000" w:sz="4" w:space="0"/>
              <w:left w:val="single" w:color="000000" w:sz="4" w:space="0"/>
              <w:right w:val="single" w:color="000000" w:sz="4" w:space="0"/>
            </w:tcBorders>
            <w:vAlign w:val="center"/>
          </w:tcPr>
          <w:p w14:paraId="027039F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社科成果奖</w:t>
            </w:r>
          </w:p>
        </w:tc>
        <w:tc>
          <w:tcPr>
            <w:tcW w:w="3605" w:type="dxa"/>
            <w:tcBorders>
              <w:top w:val="single" w:color="000000" w:sz="4" w:space="0"/>
              <w:left w:val="single" w:color="000000" w:sz="4" w:space="0"/>
              <w:bottom w:val="single" w:color="000000" w:sz="4" w:space="0"/>
              <w:right w:val="single" w:color="000000" w:sz="4" w:space="0"/>
            </w:tcBorders>
            <w:vAlign w:val="center"/>
          </w:tcPr>
          <w:p w14:paraId="1026B49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国家社会科学优秀成果奖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28F6AB1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国家社科院</w:t>
            </w:r>
          </w:p>
        </w:tc>
        <w:tc>
          <w:tcPr>
            <w:tcW w:w="1758" w:type="dxa"/>
            <w:tcBorders>
              <w:top w:val="single" w:color="000000" w:sz="4" w:space="0"/>
              <w:left w:val="single" w:color="000000" w:sz="4" w:space="0"/>
              <w:bottom w:val="single" w:color="000000" w:sz="4" w:space="0"/>
              <w:right w:val="single" w:color="000000" w:sz="4" w:space="0"/>
            </w:tcBorders>
            <w:vAlign w:val="center"/>
          </w:tcPr>
          <w:p w14:paraId="6D92CFB4">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国家级</w:t>
            </w:r>
          </w:p>
        </w:tc>
      </w:tr>
      <w:tr w14:paraId="447B90E0">
        <w:tblPrEx>
          <w:tblCellMar>
            <w:top w:w="0" w:type="dxa"/>
            <w:left w:w="108" w:type="dxa"/>
            <w:bottom w:w="0" w:type="dxa"/>
            <w:right w:w="108" w:type="dxa"/>
          </w:tblCellMar>
        </w:tblPrEx>
        <w:trPr>
          <w:trHeight w:val="779" w:hRule="atLeast"/>
          <w:jc w:val="center"/>
        </w:trPr>
        <w:tc>
          <w:tcPr>
            <w:tcW w:w="1919" w:type="dxa"/>
            <w:vMerge w:val="continue"/>
            <w:tcBorders>
              <w:left w:val="single" w:color="000000" w:sz="4" w:space="0"/>
              <w:right w:val="single" w:color="000000" w:sz="4" w:space="0"/>
            </w:tcBorders>
            <w:vAlign w:val="center"/>
          </w:tcPr>
          <w:p w14:paraId="21375FD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0970FB8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河北省社会科学优秀成果奖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0EE3B73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河北省社科联</w:t>
            </w:r>
          </w:p>
        </w:tc>
        <w:tc>
          <w:tcPr>
            <w:tcW w:w="1758" w:type="dxa"/>
            <w:tcBorders>
              <w:top w:val="single" w:color="000000" w:sz="4" w:space="0"/>
              <w:left w:val="single" w:color="000000" w:sz="4" w:space="0"/>
              <w:bottom w:val="single" w:color="000000" w:sz="4" w:space="0"/>
              <w:right w:val="single" w:color="000000" w:sz="4" w:space="0"/>
            </w:tcBorders>
            <w:vAlign w:val="center"/>
          </w:tcPr>
          <w:p w14:paraId="6B9C3D5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7FEF3049">
        <w:tblPrEx>
          <w:tblCellMar>
            <w:top w:w="0" w:type="dxa"/>
            <w:left w:w="108" w:type="dxa"/>
            <w:bottom w:w="0" w:type="dxa"/>
            <w:right w:w="108" w:type="dxa"/>
          </w:tblCellMar>
        </w:tblPrEx>
        <w:trPr>
          <w:trHeight w:val="779" w:hRule="atLeast"/>
          <w:jc w:val="center"/>
        </w:trPr>
        <w:tc>
          <w:tcPr>
            <w:tcW w:w="1919" w:type="dxa"/>
            <w:vMerge w:val="continue"/>
            <w:tcBorders>
              <w:left w:val="single" w:color="000000" w:sz="4" w:space="0"/>
              <w:bottom w:val="single" w:color="000000" w:sz="4" w:space="0"/>
              <w:right w:val="single" w:color="000000" w:sz="4" w:space="0"/>
            </w:tcBorders>
            <w:vAlign w:val="center"/>
          </w:tcPr>
          <w:p w14:paraId="6D7D34E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144F6A9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秦皇岛市社会科学优秀成果奖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00D3ABC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秦皇岛市社科联</w:t>
            </w:r>
          </w:p>
        </w:tc>
        <w:tc>
          <w:tcPr>
            <w:tcW w:w="1758" w:type="dxa"/>
            <w:tcBorders>
              <w:top w:val="single" w:color="000000" w:sz="4" w:space="0"/>
              <w:left w:val="single" w:color="000000" w:sz="4" w:space="0"/>
              <w:bottom w:val="single" w:color="000000" w:sz="4" w:space="0"/>
              <w:right w:val="single" w:color="000000" w:sz="4" w:space="0"/>
            </w:tcBorders>
            <w:vAlign w:val="center"/>
          </w:tcPr>
          <w:p w14:paraId="191AF15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市级</w:t>
            </w:r>
          </w:p>
        </w:tc>
      </w:tr>
      <w:tr w14:paraId="7885D270">
        <w:tblPrEx>
          <w:tblCellMar>
            <w:top w:w="0" w:type="dxa"/>
            <w:left w:w="108" w:type="dxa"/>
            <w:bottom w:w="0" w:type="dxa"/>
            <w:right w:w="108" w:type="dxa"/>
          </w:tblCellMar>
        </w:tblPrEx>
        <w:trPr>
          <w:trHeight w:val="779" w:hRule="atLeast"/>
          <w:jc w:val="center"/>
        </w:trPr>
        <w:tc>
          <w:tcPr>
            <w:tcW w:w="1919" w:type="dxa"/>
            <w:vMerge w:val="restart"/>
            <w:tcBorders>
              <w:top w:val="single" w:color="000000" w:sz="4" w:space="0"/>
              <w:left w:val="single" w:color="000000" w:sz="4" w:space="0"/>
              <w:bottom w:val="single" w:color="000000" w:sz="4" w:space="0"/>
              <w:right w:val="single" w:color="000000" w:sz="4" w:space="0"/>
            </w:tcBorders>
            <w:vAlign w:val="center"/>
          </w:tcPr>
          <w:p w14:paraId="6473639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教学成果奖</w:t>
            </w:r>
          </w:p>
        </w:tc>
        <w:tc>
          <w:tcPr>
            <w:tcW w:w="3605" w:type="dxa"/>
            <w:tcBorders>
              <w:top w:val="single" w:color="000000" w:sz="4" w:space="0"/>
              <w:left w:val="single" w:color="000000" w:sz="4" w:space="0"/>
              <w:bottom w:val="single" w:color="000000" w:sz="4" w:space="0"/>
              <w:right w:val="single" w:color="000000" w:sz="4" w:space="0"/>
            </w:tcBorders>
            <w:vAlign w:val="center"/>
          </w:tcPr>
          <w:p w14:paraId="6DF2CD2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国家级教学成果奖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4295374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国家优秀教学成果奖励委员会</w:t>
            </w:r>
          </w:p>
        </w:tc>
        <w:tc>
          <w:tcPr>
            <w:tcW w:w="1758" w:type="dxa"/>
            <w:tcBorders>
              <w:top w:val="single" w:color="000000" w:sz="4" w:space="0"/>
              <w:left w:val="single" w:color="000000" w:sz="4" w:space="0"/>
              <w:bottom w:val="single" w:color="000000" w:sz="4" w:space="0"/>
              <w:right w:val="single" w:color="000000" w:sz="4" w:space="0"/>
            </w:tcBorders>
            <w:vAlign w:val="center"/>
          </w:tcPr>
          <w:p w14:paraId="1222DFF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1F49005E">
        <w:tblPrEx>
          <w:tblCellMar>
            <w:top w:w="0" w:type="dxa"/>
            <w:left w:w="108" w:type="dxa"/>
            <w:bottom w:w="0" w:type="dxa"/>
            <w:right w:w="108" w:type="dxa"/>
          </w:tblCellMar>
        </w:tblPrEx>
        <w:trPr>
          <w:trHeight w:val="779"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vAlign w:val="center"/>
          </w:tcPr>
          <w:p w14:paraId="2730D93C">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0366465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河北省教学成果奖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3AB8DD6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河北省优秀教学成果奖励委员会</w:t>
            </w:r>
          </w:p>
        </w:tc>
        <w:tc>
          <w:tcPr>
            <w:tcW w:w="1758" w:type="dxa"/>
            <w:tcBorders>
              <w:top w:val="single" w:color="000000" w:sz="4" w:space="0"/>
              <w:left w:val="single" w:color="000000" w:sz="4" w:space="0"/>
              <w:bottom w:val="single" w:color="000000" w:sz="4" w:space="0"/>
              <w:right w:val="single" w:color="000000" w:sz="4" w:space="0"/>
            </w:tcBorders>
            <w:vAlign w:val="center"/>
          </w:tcPr>
          <w:p w14:paraId="36007EF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15239705">
        <w:tblPrEx>
          <w:tblCellMar>
            <w:top w:w="0" w:type="dxa"/>
            <w:left w:w="108" w:type="dxa"/>
            <w:bottom w:w="0" w:type="dxa"/>
            <w:right w:w="108" w:type="dxa"/>
          </w:tblCellMar>
        </w:tblPrEx>
        <w:trPr>
          <w:trHeight w:val="779"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vAlign w:val="center"/>
          </w:tcPr>
          <w:p w14:paraId="2410E13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1E524C0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秦皇岛市教育科学研究优秀成果奖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3C1FFE0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秦皇岛市教育局</w:t>
            </w:r>
          </w:p>
        </w:tc>
        <w:tc>
          <w:tcPr>
            <w:tcW w:w="1758" w:type="dxa"/>
            <w:tcBorders>
              <w:top w:val="single" w:color="000000" w:sz="4" w:space="0"/>
              <w:left w:val="single" w:color="000000" w:sz="4" w:space="0"/>
              <w:bottom w:val="single" w:color="000000" w:sz="4" w:space="0"/>
              <w:right w:val="single" w:color="000000" w:sz="4" w:space="0"/>
            </w:tcBorders>
            <w:vAlign w:val="center"/>
          </w:tcPr>
          <w:p w14:paraId="009CB8C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市级</w:t>
            </w:r>
          </w:p>
        </w:tc>
      </w:tr>
      <w:tr w14:paraId="0FF6F6A6">
        <w:tblPrEx>
          <w:tblCellMar>
            <w:top w:w="0" w:type="dxa"/>
            <w:left w:w="108" w:type="dxa"/>
            <w:bottom w:w="0" w:type="dxa"/>
            <w:right w:w="108" w:type="dxa"/>
          </w:tblCellMar>
        </w:tblPrEx>
        <w:trPr>
          <w:trHeight w:val="779" w:hRule="atLeast"/>
          <w:jc w:val="center"/>
        </w:trPr>
        <w:tc>
          <w:tcPr>
            <w:tcW w:w="1919" w:type="dxa"/>
            <w:vMerge w:val="continue"/>
            <w:tcBorders>
              <w:top w:val="single" w:color="000000" w:sz="4" w:space="0"/>
              <w:left w:val="single" w:color="000000" w:sz="4" w:space="0"/>
              <w:bottom w:val="single" w:color="000000" w:sz="4" w:space="0"/>
              <w:right w:val="single" w:color="000000" w:sz="4" w:space="0"/>
            </w:tcBorders>
            <w:vAlign w:val="center"/>
          </w:tcPr>
          <w:p w14:paraId="43A7DC7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525D863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秦皇岛职业技术学院教学成果奖</w:t>
            </w:r>
          </w:p>
        </w:tc>
        <w:tc>
          <w:tcPr>
            <w:tcW w:w="2820" w:type="dxa"/>
            <w:tcBorders>
              <w:top w:val="single" w:color="000000" w:sz="4" w:space="0"/>
              <w:left w:val="single" w:color="000000" w:sz="4" w:space="0"/>
              <w:bottom w:val="single" w:color="000000" w:sz="4" w:space="0"/>
              <w:right w:val="single" w:color="000000" w:sz="4" w:space="0"/>
            </w:tcBorders>
            <w:vAlign w:val="center"/>
          </w:tcPr>
          <w:p w14:paraId="3926230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秦皇岛职业技术学院</w:t>
            </w:r>
          </w:p>
        </w:tc>
        <w:tc>
          <w:tcPr>
            <w:tcW w:w="1758" w:type="dxa"/>
            <w:tcBorders>
              <w:top w:val="single" w:color="000000" w:sz="4" w:space="0"/>
              <w:left w:val="single" w:color="000000" w:sz="4" w:space="0"/>
              <w:bottom w:val="single" w:color="000000" w:sz="4" w:space="0"/>
              <w:right w:val="single" w:color="000000" w:sz="4" w:space="0"/>
            </w:tcBorders>
            <w:vAlign w:val="center"/>
          </w:tcPr>
          <w:p w14:paraId="2402835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院级</w:t>
            </w:r>
          </w:p>
        </w:tc>
      </w:tr>
      <w:tr w14:paraId="11AD8D11">
        <w:tblPrEx>
          <w:tblCellMar>
            <w:top w:w="0" w:type="dxa"/>
            <w:left w:w="108" w:type="dxa"/>
            <w:bottom w:w="0" w:type="dxa"/>
            <w:right w:w="108" w:type="dxa"/>
          </w:tblCellMar>
        </w:tblPrEx>
        <w:trPr>
          <w:trHeight w:val="779" w:hRule="atLeast"/>
          <w:jc w:val="center"/>
        </w:trPr>
        <w:tc>
          <w:tcPr>
            <w:tcW w:w="1919" w:type="dxa"/>
            <w:vMerge w:val="restart"/>
            <w:tcBorders>
              <w:top w:val="single" w:color="000000" w:sz="4" w:space="0"/>
              <w:left w:val="single" w:color="000000" w:sz="4" w:space="0"/>
              <w:right w:val="single" w:color="000000" w:sz="4" w:space="0"/>
            </w:tcBorders>
            <w:vAlign w:val="center"/>
          </w:tcPr>
          <w:p w14:paraId="35991B4B">
            <w:pPr>
              <w:keepNext w:val="0"/>
              <w:keepLines w:val="0"/>
              <w:pageBreakBefore w:val="0"/>
              <w:widowControl w:val="0"/>
              <w:kinsoku/>
              <w:wordWrap/>
              <w:overflowPunct/>
              <w:topLinePunct w:val="0"/>
              <w:bidi w:val="0"/>
              <w:adjustRightInd/>
              <w:snapToGrid/>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思想政治工作成果</w:t>
            </w:r>
          </w:p>
        </w:tc>
        <w:tc>
          <w:tcPr>
            <w:tcW w:w="3605" w:type="dxa"/>
            <w:tcBorders>
              <w:top w:val="single" w:color="000000" w:sz="4" w:space="0"/>
              <w:left w:val="single" w:color="000000" w:sz="4" w:space="0"/>
              <w:bottom w:val="single" w:color="000000" w:sz="4" w:space="0"/>
              <w:right w:val="single" w:color="000000" w:sz="4" w:space="0"/>
            </w:tcBorders>
            <w:vAlign w:val="center"/>
          </w:tcPr>
          <w:p w14:paraId="4A837030">
            <w:pPr>
              <w:keepNext w:val="0"/>
              <w:keepLines w:val="0"/>
              <w:pageBreakBefore w:val="0"/>
              <w:widowControl w:val="0"/>
              <w:kinsoku/>
              <w:wordWrap/>
              <w:overflowPunct/>
              <w:topLinePunct w:val="0"/>
              <w:bidi w:val="0"/>
              <w:adjustRightInd/>
              <w:snapToGrid/>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高校思想政治工作质量提升综合改革与精品建设项目</w:t>
            </w:r>
          </w:p>
        </w:tc>
        <w:tc>
          <w:tcPr>
            <w:tcW w:w="2820" w:type="dxa"/>
            <w:tcBorders>
              <w:top w:val="single" w:color="000000" w:sz="4" w:space="0"/>
              <w:left w:val="single" w:color="000000" w:sz="4" w:space="0"/>
              <w:right w:val="single" w:color="000000" w:sz="4" w:space="0"/>
            </w:tcBorders>
            <w:vAlign w:val="center"/>
          </w:tcPr>
          <w:p w14:paraId="680CAEE8">
            <w:pPr>
              <w:keepNext w:val="0"/>
              <w:keepLines w:val="0"/>
              <w:pageBreakBefore w:val="0"/>
              <w:widowControl w:val="0"/>
              <w:kinsoku/>
              <w:wordWrap/>
              <w:overflowPunct/>
              <w:topLinePunct w:val="0"/>
              <w:bidi w:val="0"/>
              <w:adjustRightInd/>
              <w:snapToGrid/>
              <w:jc w:val="center"/>
              <w:textAlignment w:val="center"/>
              <w:rPr>
                <w:rFonts w:hint="eastAsia" w:ascii="宋体" w:hAnsi="宋体" w:cs="宋体"/>
                <w:color w:val="auto"/>
                <w:sz w:val="22"/>
                <w:szCs w:val="22"/>
                <w:lang w:bidi="ar"/>
              </w:rPr>
            </w:pPr>
            <w:r>
              <w:rPr>
                <w:rFonts w:hint="eastAsia" w:ascii="宋体" w:hAnsi="宋体" w:cs="宋体"/>
                <w:color w:val="auto"/>
                <w:sz w:val="22"/>
                <w:szCs w:val="22"/>
                <w:lang w:bidi="ar"/>
              </w:rPr>
              <w:t>教育部思想政治工作司</w:t>
            </w:r>
          </w:p>
        </w:tc>
        <w:tc>
          <w:tcPr>
            <w:tcW w:w="1758" w:type="dxa"/>
            <w:tcBorders>
              <w:top w:val="single" w:color="000000" w:sz="4" w:space="0"/>
              <w:left w:val="single" w:color="000000" w:sz="4" w:space="0"/>
              <w:right w:val="single" w:color="000000" w:sz="4" w:space="0"/>
            </w:tcBorders>
            <w:vAlign w:val="center"/>
          </w:tcPr>
          <w:p w14:paraId="26DB105F">
            <w:pPr>
              <w:keepNext w:val="0"/>
              <w:keepLines w:val="0"/>
              <w:pageBreakBefore w:val="0"/>
              <w:widowControl w:val="0"/>
              <w:kinsoku/>
              <w:wordWrap/>
              <w:overflowPunct/>
              <w:topLinePunct w:val="0"/>
              <w:bidi w:val="0"/>
              <w:adjustRightInd/>
              <w:snapToGrid/>
              <w:jc w:val="center"/>
              <w:textAlignment w:val="center"/>
              <w:rPr>
                <w:rFonts w:hint="eastAsia" w:ascii="宋体" w:hAnsi="宋体" w:eastAsia="宋体" w:cs="宋体"/>
                <w:color w:val="auto"/>
                <w:sz w:val="22"/>
                <w:szCs w:val="22"/>
                <w:lang w:val="en-US" w:eastAsia="zh-CN" w:bidi="ar"/>
              </w:rPr>
            </w:pPr>
            <w:r>
              <w:rPr>
                <w:rFonts w:hint="eastAsia" w:ascii="宋体" w:hAnsi="宋体" w:cs="宋体"/>
                <w:color w:val="auto"/>
                <w:sz w:val="22"/>
                <w:szCs w:val="22"/>
                <w:lang w:val="en-US" w:eastAsia="zh-CN" w:bidi="ar"/>
              </w:rPr>
              <w:t>国家级</w:t>
            </w:r>
          </w:p>
        </w:tc>
      </w:tr>
      <w:tr w14:paraId="1064C435">
        <w:tblPrEx>
          <w:tblCellMar>
            <w:top w:w="0" w:type="dxa"/>
            <w:left w:w="108" w:type="dxa"/>
            <w:bottom w:w="0" w:type="dxa"/>
            <w:right w:w="108" w:type="dxa"/>
          </w:tblCellMar>
        </w:tblPrEx>
        <w:trPr>
          <w:trHeight w:val="779" w:hRule="atLeast"/>
          <w:jc w:val="center"/>
        </w:trPr>
        <w:tc>
          <w:tcPr>
            <w:tcW w:w="1919" w:type="dxa"/>
            <w:vMerge w:val="continue"/>
            <w:tcBorders>
              <w:left w:val="single" w:color="000000" w:sz="4" w:space="0"/>
              <w:right w:val="single" w:color="000000" w:sz="4" w:space="0"/>
            </w:tcBorders>
            <w:vAlign w:val="center"/>
          </w:tcPr>
          <w:p w14:paraId="3302720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1A0555D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河北省学生思想政治工作创新案例</w:t>
            </w:r>
          </w:p>
        </w:tc>
        <w:tc>
          <w:tcPr>
            <w:tcW w:w="2820" w:type="dxa"/>
            <w:vMerge w:val="restart"/>
            <w:tcBorders>
              <w:top w:val="single" w:color="000000" w:sz="4" w:space="0"/>
              <w:left w:val="single" w:color="000000" w:sz="4" w:space="0"/>
              <w:right w:val="single" w:color="000000" w:sz="4" w:space="0"/>
            </w:tcBorders>
            <w:vAlign w:val="center"/>
          </w:tcPr>
          <w:p w14:paraId="79F8B1A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河北省教育厅</w:t>
            </w:r>
          </w:p>
        </w:tc>
        <w:tc>
          <w:tcPr>
            <w:tcW w:w="1758" w:type="dxa"/>
            <w:vMerge w:val="restart"/>
            <w:tcBorders>
              <w:top w:val="single" w:color="000000" w:sz="4" w:space="0"/>
              <w:left w:val="single" w:color="000000" w:sz="4" w:space="0"/>
              <w:right w:val="single" w:color="000000" w:sz="4" w:space="0"/>
            </w:tcBorders>
            <w:vAlign w:val="center"/>
          </w:tcPr>
          <w:p w14:paraId="08E9F9F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省级</w:t>
            </w:r>
          </w:p>
        </w:tc>
      </w:tr>
      <w:tr w14:paraId="07631765">
        <w:tblPrEx>
          <w:tblCellMar>
            <w:top w:w="0" w:type="dxa"/>
            <w:left w:w="108" w:type="dxa"/>
            <w:bottom w:w="0" w:type="dxa"/>
            <w:right w:w="108" w:type="dxa"/>
          </w:tblCellMar>
        </w:tblPrEx>
        <w:trPr>
          <w:trHeight w:val="779" w:hRule="atLeast"/>
          <w:jc w:val="center"/>
        </w:trPr>
        <w:tc>
          <w:tcPr>
            <w:tcW w:w="1919" w:type="dxa"/>
            <w:vMerge w:val="continue"/>
            <w:tcBorders>
              <w:left w:val="single" w:color="000000" w:sz="4" w:space="0"/>
              <w:right w:val="single" w:color="000000" w:sz="4" w:space="0"/>
            </w:tcBorders>
            <w:vAlign w:val="center"/>
          </w:tcPr>
          <w:p w14:paraId="1737569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5A3C3D5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河北省校园文化建设优秀成果</w:t>
            </w:r>
          </w:p>
        </w:tc>
        <w:tc>
          <w:tcPr>
            <w:tcW w:w="2820" w:type="dxa"/>
            <w:vMerge w:val="continue"/>
            <w:tcBorders>
              <w:left w:val="single" w:color="000000" w:sz="4" w:space="0"/>
              <w:right w:val="single" w:color="000000" w:sz="4" w:space="0"/>
            </w:tcBorders>
            <w:vAlign w:val="center"/>
          </w:tcPr>
          <w:p w14:paraId="397037A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1758" w:type="dxa"/>
            <w:vMerge w:val="continue"/>
            <w:tcBorders>
              <w:left w:val="single" w:color="000000" w:sz="4" w:space="0"/>
              <w:right w:val="single" w:color="000000" w:sz="4" w:space="0"/>
            </w:tcBorders>
            <w:vAlign w:val="center"/>
          </w:tcPr>
          <w:p w14:paraId="78F9608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r w14:paraId="4DA50474">
        <w:tblPrEx>
          <w:tblCellMar>
            <w:top w:w="0" w:type="dxa"/>
            <w:left w:w="108" w:type="dxa"/>
            <w:bottom w:w="0" w:type="dxa"/>
            <w:right w:w="108" w:type="dxa"/>
          </w:tblCellMar>
        </w:tblPrEx>
        <w:trPr>
          <w:trHeight w:val="779" w:hRule="atLeast"/>
          <w:jc w:val="center"/>
        </w:trPr>
        <w:tc>
          <w:tcPr>
            <w:tcW w:w="1919" w:type="dxa"/>
            <w:vMerge w:val="continue"/>
            <w:tcBorders>
              <w:left w:val="single" w:color="000000" w:sz="4" w:space="0"/>
              <w:bottom w:val="single" w:color="000000" w:sz="4" w:space="0"/>
              <w:right w:val="single" w:color="000000" w:sz="4" w:space="0"/>
            </w:tcBorders>
            <w:vAlign w:val="center"/>
          </w:tcPr>
          <w:p w14:paraId="604D79E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3605" w:type="dxa"/>
            <w:tcBorders>
              <w:top w:val="single" w:color="000000" w:sz="4" w:space="0"/>
              <w:left w:val="single" w:color="000000" w:sz="4" w:space="0"/>
              <w:bottom w:val="single" w:color="000000" w:sz="4" w:space="0"/>
              <w:right w:val="single" w:color="000000" w:sz="4" w:space="0"/>
            </w:tcBorders>
            <w:vAlign w:val="center"/>
          </w:tcPr>
          <w:p w14:paraId="6CC54B9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河北省辅导员工作精品项目（仅限学生思想政治教育专业使用）</w:t>
            </w:r>
          </w:p>
        </w:tc>
        <w:tc>
          <w:tcPr>
            <w:tcW w:w="2820" w:type="dxa"/>
            <w:vMerge w:val="continue"/>
            <w:tcBorders>
              <w:left w:val="single" w:color="000000" w:sz="4" w:space="0"/>
              <w:bottom w:val="single" w:color="000000" w:sz="4" w:space="0"/>
              <w:right w:val="single" w:color="000000" w:sz="4" w:space="0"/>
            </w:tcBorders>
            <w:vAlign w:val="center"/>
          </w:tcPr>
          <w:p w14:paraId="747B7BD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c>
          <w:tcPr>
            <w:tcW w:w="1758" w:type="dxa"/>
            <w:vMerge w:val="continue"/>
            <w:tcBorders>
              <w:left w:val="single" w:color="000000" w:sz="4" w:space="0"/>
              <w:bottom w:val="single" w:color="000000" w:sz="4" w:space="0"/>
              <w:right w:val="single" w:color="000000" w:sz="4" w:space="0"/>
            </w:tcBorders>
            <w:vAlign w:val="center"/>
          </w:tcPr>
          <w:p w14:paraId="73C3E36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lang w:bidi="ar"/>
              </w:rPr>
            </w:pPr>
          </w:p>
        </w:tc>
      </w:tr>
    </w:tbl>
    <w:p w14:paraId="4A974A98">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宋体" w:hAnsi="宋体" w:cs="宋体"/>
          <w:color w:val="auto"/>
          <w:sz w:val="22"/>
          <w:szCs w:val="22"/>
        </w:rPr>
      </w:pPr>
    </w:p>
    <w:p w14:paraId="24CA9DBA">
      <w:pPr>
        <w:keepNext w:val="0"/>
        <w:keepLines w:val="0"/>
        <w:pageBreakBefore w:val="0"/>
        <w:widowControl w:val="0"/>
        <w:kinsoku/>
        <w:wordWrap/>
        <w:overflowPunct/>
        <w:topLinePunct w:val="0"/>
        <w:bidi w:val="0"/>
        <w:adjustRightInd/>
        <w:snapToGrid/>
        <w:rPr>
          <w:rFonts w:ascii="宋体" w:hAnsi="宋体" w:cs="宋体"/>
          <w:color w:val="auto"/>
          <w:sz w:val="22"/>
          <w:szCs w:val="22"/>
        </w:rPr>
      </w:pPr>
      <w:r>
        <w:rPr>
          <w:rFonts w:hint="eastAsia" w:ascii="宋体" w:hAnsi="宋体" w:cs="宋体"/>
          <w:color w:val="auto"/>
          <w:sz w:val="22"/>
          <w:szCs w:val="22"/>
        </w:rPr>
        <w:br w:type="page"/>
      </w:r>
    </w:p>
    <w:p w14:paraId="2E2BECF1">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黑体" w:hAnsi="黑体" w:eastAsia="黑体" w:cs="黑体"/>
          <w:color w:val="auto"/>
          <w:sz w:val="24"/>
        </w:rPr>
      </w:pPr>
      <w:r>
        <w:rPr>
          <w:rFonts w:hint="eastAsia" w:ascii="黑体" w:hAnsi="黑体" w:eastAsia="黑体" w:cs="黑体"/>
          <w:color w:val="auto"/>
          <w:sz w:val="24"/>
        </w:rPr>
        <w:t>附录6</w:t>
      </w:r>
    </w:p>
    <w:tbl>
      <w:tblPr>
        <w:tblStyle w:val="4"/>
        <w:tblW w:w="102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
        <w:gridCol w:w="1193"/>
        <w:gridCol w:w="2704"/>
        <w:gridCol w:w="3926"/>
        <w:gridCol w:w="960"/>
        <w:gridCol w:w="937"/>
      </w:tblGrid>
      <w:tr w14:paraId="7921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10223" w:type="dxa"/>
            <w:gridSpan w:val="6"/>
            <w:tcBorders>
              <w:top w:val="nil"/>
              <w:left w:val="nil"/>
              <w:bottom w:val="single" w:color="000000" w:sz="4" w:space="0"/>
              <w:right w:val="nil"/>
            </w:tcBorders>
            <w:vAlign w:val="center"/>
          </w:tcPr>
          <w:p w14:paraId="7B996B97">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方正小标宋简体" w:hAnsi="方正小标宋简体" w:eastAsia="方正小标宋简体" w:cs="方正小标宋简体"/>
                <w:color w:val="auto"/>
                <w:sz w:val="32"/>
                <w:szCs w:val="32"/>
                <w:lang w:bidi="ar"/>
              </w:rPr>
              <w:t>建设项目目录</w:t>
            </w:r>
          </w:p>
        </w:tc>
      </w:tr>
      <w:tr w14:paraId="183DF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503" w:type="dxa"/>
            <w:tcBorders>
              <w:top w:val="single" w:color="000000" w:sz="4" w:space="0"/>
            </w:tcBorders>
            <w:vAlign w:val="center"/>
          </w:tcPr>
          <w:p w14:paraId="5990015E">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序号</w:t>
            </w:r>
          </w:p>
        </w:tc>
        <w:tc>
          <w:tcPr>
            <w:tcW w:w="1193" w:type="dxa"/>
            <w:tcBorders>
              <w:top w:val="single" w:color="000000" w:sz="4" w:space="0"/>
            </w:tcBorders>
            <w:vAlign w:val="center"/>
          </w:tcPr>
          <w:p w14:paraId="6D5BA16B">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lang w:bidi="ar"/>
              </w:rPr>
            </w:pPr>
            <w:r>
              <w:rPr>
                <w:rFonts w:hint="eastAsia" w:ascii="宋体" w:hAnsi="宋体" w:cs="宋体"/>
                <w:b/>
                <w:bCs/>
                <w:color w:val="auto"/>
                <w:sz w:val="22"/>
                <w:szCs w:val="22"/>
                <w:lang w:bidi="ar"/>
              </w:rPr>
              <w:t>项目</w:t>
            </w:r>
          </w:p>
          <w:p w14:paraId="3B6F865C">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名称</w:t>
            </w:r>
          </w:p>
        </w:tc>
        <w:tc>
          <w:tcPr>
            <w:tcW w:w="6630" w:type="dxa"/>
            <w:gridSpan w:val="2"/>
            <w:tcBorders>
              <w:top w:val="single" w:color="000000" w:sz="4" w:space="0"/>
            </w:tcBorders>
            <w:vAlign w:val="center"/>
          </w:tcPr>
          <w:p w14:paraId="2354F551">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专项工作组/建设任务组名称</w:t>
            </w:r>
          </w:p>
        </w:tc>
        <w:tc>
          <w:tcPr>
            <w:tcW w:w="960" w:type="dxa"/>
            <w:tcBorders>
              <w:top w:val="single" w:color="000000" w:sz="4" w:space="0"/>
            </w:tcBorders>
            <w:vAlign w:val="center"/>
          </w:tcPr>
          <w:p w14:paraId="056FADA1">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类别</w:t>
            </w:r>
          </w:p>
        </w:tc>
        <w:tc>
          <w:tcPr>
            <w:tcW w:w="937" w:type="dxa"/>
            <w:tcBorders>
              <w:top w:val="single" w:color="000000" w:sz="4" w:space="0"/>
            </w:tcBorders>
            <w:vAlign w:val="center"/>
          </w:tcPr>
          <w:p w14:paraId="323F0B1F">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lang w:bidi="ar"/>
              </w:rPr>
            </w:pPr>
            <w:r>
              <w:rPr>
                <w:rFonts w:hint="eastAsia" w:ascii="宋体" w:hAnsi="宋体" w:cs="宋体"/>
                <w:b/>
                <w:bCs/>
                <w:color w:val="auto"/>
                <w:sz w:val="22"/>
                <w:szCs w:val="22"/>
                <w:lang w:bidi="ar"/>
              </w:rPr>
              <w:t>认定</w:t>
            </w:r>
          </w:p>
          <w:p w14:paraId="2D46C51E">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级别</w:t>
            </w:r>
          </w:p>
        </w:tc>
      </w:tr>
      <w:tr w14:paraId="3D99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Align w:val="center"/>
          </w:tcPr>
          <w:p w14:paraId="236E17A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1</w:t>
            </w:r>
          </w:p>
        </w:tc>
        <w:tc>
          <w:tcPr>
            <w:tcW w:w="1193" w:type="dxa"/>
            <w:vAlign w:val="center"/>
          </w:tcPr>
          <w:p w14:paraId="53262FA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国家骨干高职院校</w:t>
            </w:r>
          </w:p>
        </w:tc>
        <w:tc>
          <w:tcPr>
            <w:tcW w:w="6630" w:type="dxa"/>
            <w:gridSpan w:val="2"/>
            <w:vAlign w:val="center"/>
          </w:tcPr>
          <w:p w14:paraId="290CE833">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1.办学体制机制创新与校企合作制度建设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2.酒店管理专业及专业群建设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3.物流管理专业及专业群建设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4.数控技术专业及专业群建设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5.计算机应用技术专业及专业群建设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6.师资队伍及领导能力建设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7.社会服务能力建设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8.综合素质平台建设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9.共享信息化平台建设</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10.国家骨干高职院校建设办公室</w:t>
            </w:r>
          </w:p>
        </w:tc>
        <w:tc>
          <w:tcPr>
            <w:tcW w:w="960" w:type="dxa"/>
            <w:vAlign w:val="center"/>
          </w:tcPr>
          <w:p w14:paraId="088D2F2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专项工作组</w:t>
            </w:r>
          </w:p>
        </w:tc>
        <w:tc>
          <w:tcPr>
            <w:tcW w:w="937" w:type="dxa"/>
            <w:vAlign w:val="center"/>
          </w:tcPr>
          <w:p w14:paraId="273F722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78C1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restart"/>
            <w:vAlign w:val="center"/>
          </w:tcPr>
          <w:p w14:paraId="4924A1E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rPr>
              <w:t>2</w:t>
            </w:r>
          </w:p>
        </w:tc>
        <w:tc>
          <w:tcPr>
            <w:tcW w:w="1193" w:type="dxa"/>
            <w:vMerge w:val="restart"/>
            <w:vAlign w:val="center"/>
          </w:tcPr>
          <w:p w14:paraId="2369854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lang w:bidi="ar"/>
              </w:rPr>
              <w:t>创新发展行动计划（2015-2018年）</w:t>
            </w:r>
          </w:p>
        </w:tc>
        <w:tc>
          <w:tcPr>
            <w:tcW w:w="2704" w:type="dxa"/>
            <w:vMerge w:val="restart"/>
            <w:vAlign w:val="center"/>
          </w:tcPr>
          <w:p w14:paraId="12252C0B">
            <w:pPr>
              <w:keepNext w:val="0"/>
              <w:keepLines w:val="0"/>
              <w:pageBreakBefore w:val="0"/>
              <w:widowControl w:val="0"/>
              <w:kinsoku/>
              <w:wordWrap/>
              <w:overflowPunct/>
              <w:topLinePunct w:val="0"/>
              <w:autoSpaceDE w:val="0"/>
              <w:autoSpaceDN w:val="0"/>
              <w:bidi w:val="0"/>
              <w:adjustRightInd/>
              <w:snapToGrid/>
              <w:spacing w:line="270" w:lineRule="exact"/>
              <w:jc w:val="center"/>
              <w:textAlignment w:val="center"/>
              <w:rPr>
                <w:rFonts w:ascii="宋体" w:hAnsi="宋体" w:cs="宋体"/>
                <w:color w:val="auto"/>
                <w:sz w:val="22"/>
                <w:szCs w:val="22"/>
              </w:rPr>
            </w:pPr>
            <w:r>
              <w:rPr>
                <w:rFonts w:hint="eastAsia" w:ascii="宋体" w:hAnsi="宋体" w:cs="宋体"/>
                <w:color w:val="auto"/>
                <w:sz w:val="22"/>
                <w:szCs w:val="22"/>
                <w:lang w:bidi="ar"/>
              </w:rPr>
              <w:t>XM-1* 6个骨干专业建设</w:t>
            </w:r>
          </w:p>
        </w:tc>
        <w:tc>
          <w:tcPr>
            <w:tcW w:w="3926" w:type="dxa"/>
            <w:vAlign w:val="center"/>
          </w:tcPr>
          <w:p w14:paraId="6C5B8DCD">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财务管理</w:t>
            </w:r>
          </w:p>
        </w:tc>
        <w:tc>
          <w:tcPr>
            <w:tcW w:w="960" w:type="dxa"/>
            <w:vMerge w:val="restart"/>
            <w:vAlign w:val="center"/>
          </w:tcPr>
          <w:p w14:paraId="677726F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专项工作组</w:t>
            </w:r>
          </w:p>
        </w:tc>
        <w:tc>
          <w:tcPr>
            <w:tcW w:w="937" w:type="dxa"/>
            <w:vMerge w:val="restart"/>
            <w:vAlign w:val="center"/>
          </w:tcPr>
          <w:p w14:paraId="32A941A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0DC38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503" w:type="dxa"/>
            <w:vMerge w:val="continue"/>
            <w:vAlign w:val="center"/>
          </w:tcPr>
          <w:p w14:paraId="4F2C61D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411290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724E672D">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60A12F0A">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机电一体化</w:t>
            </w:r>
          </w:p>
        </w:tc>
        <w:tc>
          <w:tcPr>
            <w:tcW w:w="960" w:type="dxa"/>
            <w:vMerge w:val="continue"/>
            <w:vAlign w:val="center"/>
          </w:tcPr>
          <w:p w14:paraId="4541258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55FBAD8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5F62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503" w:type="dxa"/>
            <w:vMerge w:val="continue"/>
            <w:vAlign w:val="center"/>
          </w:tcPr>
          <w:p w14:paraId="048F509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248875C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4E9BEA26">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13D85730">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工程造价</w:t>
            </w:r>
          </w:p>
        </w:tc>
        <w:tc>
          <w:tcPr>
            <w:tcW w:w="960" w:type="dxa"/>
            <w:vMerge w:val="continue"/>
            <w:vAlign w:val="center"/>
          </w:tcPr>
          <w:p w14:paraId="1113023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24FCC96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3AF7F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503" w:type="dxa"/>
            <w:vMerge w:val="continue"/>
            <w:vAlign w:val="center"/>
          </w:tcPr>
          <w:p w14:paraId="13CD705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1DAAA0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2C93B1B1">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2E5BB962">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移动应用开发</w:t>
            </w:r>
          </w:p>
        </w:tc>
        <w:tc>
          <w:tcPr>
            <w:tcW w:w="960" w:type="dxa"/>
            <w:vMerge w:val="continue"/>
            <w:vAlign w:val="center"/>
          </w:tcPr>
          <w:p w14:paraId="07FEA8D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0F293FB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22920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503" w:type="dxa"/>
            <w:vMerge w:val="continue"/>
            <w:vAlign w:val="center"/>
          </w:tcPr>
          <w:p w14:paraId="4C942DA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5A7B07D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026B120F">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2665B9D2">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旅游管理</w:t>
            </w:r>
          </w:p>
        </w:tc>
        <w:tc>
          <w:tcPr>
            <w:tcW w:w="960" w:type="dxa"/>
            <w:vMerge w:val="continue"/>
            <w:vAlign w:val="center"/>
          </w:tcPr>
          <w:p w14:paraId="193E91C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3A6FD75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16A5A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19EEED9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52BD6AC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635F6394">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532BB17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审计</w:t>
            </w:r>
          </w:p>
        </w:tc>
        <w:tc>
          <w:tcPr>
            <w:tcW w:w="960" w:type="dxa"/>
            <w:vMerge w:val="continue"/>
            <w:vAlign w:val="center"/>
          </w:tcPr>
          <w:p w14:paraId="76DAF85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667D93C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131C8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503" w:type="dxa"/>
            <w:vMerge w:val="continue"/>
            <w:vAlign w:val="center"/>
          </w:tcPr>
          <w:p w14:paraId="7425E65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2E8B9EB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restart"/>
            <w:vAlign w:val="center"/>
          </w:tcPr>
          <w:p w14:paraId="0E5652C8">
            <w:pPr>
              <w:keepNext w:val="0"/>
              <w:keepLines w:val="0"/>
              <w:pageBreakBefore w:val="0"/>
              <w:widowControl w:val="0"/>
              <w:kinsoku/>
              <w:wordWrap/>
              <w:overflowPunct/>
              <w:topLinePunct w:val="0"/>
              <w:autoSpaceDE w:val="0"/>
              <w:autoSpaceDN w:val="0"/>
              <w:bidi w:val="0"/>
              <w:adjustRightInd/>
              <w:snapToGrid/>
              <w:spacing w:line="270" w:lineRule="exact"/>
              <w:jc w:val="center"/>
              <w:textAlignment w:val="center"/>
              <w:rPr>
                <w:rFonts w:ascii="宋体" w:hAnsi="宋体" w:cs="宋体"/>
                <w:color w:val="auto"/>
                <w:sz w:val="22"/>
                <w:szCs w:val="22"/>
              </w:rPr>
            </w:pPr>
            <w:r>
              <w:rPr>
                <w:rFonts w:hint="eastAsia" w:ascii="宋体" w:hAnsi="宋体" w:cs="宋体"/>
                <w:color w:val="auto"/>
                <w:sz w:val="22"/>
                <w:szCs w:val="22"/>
                <w:lang w:bidi="ar"/>
              </w:rPr>
              <w:t>XM-2* 2个校企共建的生产性实训基地建设</w:t>
            </w:r>
          </w:p>
        </w:tc>
        <w:tc>
          <w:tcPr>
            <w:tcW w:w="3926" w:type="dxa"/>
            <w:vAlign w:val="center"/>
          </w:tcPr>
          <w:p w14:paraId="62B5D78A">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智能制造技术生产性实训基地</w:t>
            </w:r>
          </w:p>
        </w:tc>
        <w:tc>
          <w:tcPr>
            <w:tcW w:w="960" w:type="dxa"/>
            <w:vMerge w:val="continue"/>
            <w:vAlign w:val="center"/>
          </w:tcPr>
          <w:p w14:paraId="5408B2D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7B68AEF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F2AD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503" w:type="dxa"/>
            <w:vMerge w:val="continue"/>
            <w:vAlign w:val="center"/>
          </w:tcPr>
          <w:p w14:paraId="6F05E0D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760A9A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0883044B">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2D8F1DA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焙烤食品加工技术实训基地</w:t>
            </w:r>
          </w:p>
        </w:tc>
        <w:tc>
          <w:tcPr>
            <w:tcW w:w="960" w:type="dxa"/>
            <w:vMerge w:val="continue"/>
            <w:vAlign w:val="center"/>
          </w:tcPr>
          <w:p w14:paraId="14A744B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5EB6ECA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87D0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3" w:type="dxa"/>
            <w:vMerge w:val="continue"/>
            <w:vAlign w:val="center"/>
          </w:tcPr>
          <w:p w14:paraId="305DD4B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69FA5D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67C5825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XM-3 优质专科高等职业院校建设</w:t>
            </w:r>
          </w:p>
        </w:tc>
        <w:tc>
          <w:tcPr>
            <w:tcW w:w="960" w:type="dxa"/>
            <w:vMerge w:val="continue"/>
            <w:vAlign w:val="center"/>
          </w:tcPr>
          <w:p w14:paraId="1F727FB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0A7BD0BC">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20F25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3" w:type="dxa"/>
            <w:vMerge w:val="continue"/>
            <w:vAlign w:val="center"/>
          </w:tcPr>
          <w:p w14:paraId="5C553E1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4D3625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6661E7E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XM-4* “双师型”教师培养培训基地建设</w:t>
            </w:r>
          </w:p>
        </w:tc>
        <w:tc>
          <w:tcPr>
            <w:tcW w:w="960" w:type="dxa"/>
            <w:vMerge w:val="continue"/>
            <w:vAlign w:val="center"/>
          </w:tcPr>
          <w:p w14:paraId="6DF7387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541280D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3867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2FB7C76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469EFB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restart"/>
            <w:vAlign w:val="center"/>
          </w:tcPr>
          <w:p w14:paraId="30F41015">
            <w:pPr>
              <w:keepNext w:val="0"/>
              <w:keepLines w:val="0"/>
              <w:pageBreakBefore w:val="0"/>
              <w:widowControl w:val="0"/>
              <w:kinsoku/>
              <w:wordWrap/>
              <w:overflowPunct/>
              <w:topLinePunct w:val="0"/>
              <w:autoSpaceDE w:val="0"/>
              <w:autoSpaceDN w:val="0"/>
              <w:bidi w:val="0"/>
              <w:adjustRightInd/>
              <w:snapToGrid/>
              <w:spacing w:line="270" w:lineRule="exact"/>
              <w:jc w:val="center"/>
              <w:textAlignment w:val="center"/>
              <w:rPr>
                <w:rFonts w:ascii="宋体" w:hAnsi="宋体" w:cs="宋体"/>
                <w:color w:val="auto"/>
                <w:sz w:val="22"/>
                <w:szCs w:val="22"/>
                <w:lang w:bidi="ar"/>
              </w:rPr>
            </w:pPr>
            <w:r>
              <w:rPr>
                <w:rFonts w:hint="eastAsia" w:ascii="宋体" w:hAnsi="宋体" w:cs="宋体"/>
                <w:color w:val="auto"/>
                <w:sz w:val="22"/>
                <w:szCs w:val="22"/>
                <w:lang w:bidi="ar"/>
              </w:rPr>
              <w:t>XM-6* 立项建设省级精品在线开放课程</w:t>
            </w:r>
          </w:p>
        </w:tc>
        <w:tc>
          <w:tcPr>
            <w:tcW w:w="3926" w:type="dxa"/>
            <w:vAlign w:val="center"/>
          </w:tcPr>
          <w:p w14:paraId="3667E84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《网站前台美工设计》</w:t>
            </w:r>
          </w:p>
        </w:tc>
        <w:tc>
          <w:tcPr>
            <w:tcW w:w="960" w:type="dxa"/>
            <w:vMerge w:val="continue"/>
            <w:vAlign w:val="center"/>
          </w:tcPr>
          <w:p w14:paraId="065120E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restart"/>
            <w:vAlign w:val="center"/>
          </w:tcPr>
          <w:p w14:paraId="36A4F09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r>
              <w:rPr>
                <w:rFonts w:hint="eastAsia" w:ascii="宋体" w:hAnsi="宋体" w:cs="宋体"/>
                <w:color w:val="auto"/>
                <w:sz w:val="22"/>
                <w:szCs w:val="22"/>
                <w:lang w:bidi="ar"/>
              </w:rPr>
              <w:t>省级</w:t>
            </w:r>
          </w:p>
        </w:tc>
      </w:tr>
      <w:tr w14:paraId="24B43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503" w:type="dxa"/>
            <w:vMerge w:val="continue"/>
            <w:vAlign w:val="center"/>
          </w:tcPr>
          <w:p w14:paraId="1D0712A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3EC4BCD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15CC9B0B">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p>
        </w:tc>
        <w:tc>
          <w:tcPr>
            <w:tcW w:w="3926" w:type="dxa"/>
            <w:vAlign w:val="center"/>
          </w:tcPr>
          <w:p w14:paraId="74C7581D">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《电气控制与PLC》</w:t>
            </w:r>
          </w:p>
        </w:tc>
        <w:tc>
          <w:tcPr>
            <w:tcW w:w="960" w:type="dxa"/>
            <w:vMerge w:val="continue"/>
            <w:vAlign w:val="center"/>
          </w:tcPr>
          <w:p w14:paraId="4DD9AE1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66F210F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29F3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 w:hRule="atLeast"/>
          <w:jc w:val="center"/>
        </w:trPr>
        <w:tc>
          <w:tcPr>
            <w:tcW w:w="503" w:type="dxa"/>
            <w:vMerge w:val="continue"/>
            <w:vAlign w:val="center"/>
          </w:tcPr>
          <w:p w14:paraId="71AC5F7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9676C7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1C9F952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p>
        </w:tc>
        <w:tc>
          <w:tcPr>
            <w:tcW w:w="3926" w:type="dxa"/>
            <w:vAlign w:val="center"/>
          </w:tcPr>
          <w:p w14:paraId="48FC2E8E">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《建设工程项目管理》</w:t>
            </w:r>
          </w:p>
        </w:tc>
        <w:tc>
          <w:tcPr>
            <w:tcW w:w="960" w:type="dxa"/>
            <w:vMerge w:val="continue"/>
            <w:vAlign w:val="center"/>
          </w:tcPr>
          <w:p w14:paraId="320A70A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3A27251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5A2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jc w:val="center"/>
        </w:trPr>
        <w:tc>
          <w:tcPr>
            <w:tcW w:w="503" w:type="dxa"/>
            <w:vMerge w:val="continue"/>
            <w:vAlign w:val="center"/>
          </w:tcPr>
          <w:p w14:paraId="27DCDDD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E155EC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78833A0A">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XM-10 对口支援西部职业院校</w:t>
            </w:r>
          </w:p>
        </w:tc>
        <w:tc>
          <w:tcPr>
            <w:tcW w:w="960" w:type="dxa"/>
            <w:vMerge w:val="continue"/>
            <w:vAlign w:val="center"/>
          </w:tcPr>
          <w:p w14:paraId="15716E3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626715E9">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p>
        </w:tc>
      </w:tr>
      <w:tr w14:paraId="7B2EB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03" w:type="dxa"/>
            <w:vMerge w:val="continue"/>
            <w:vAlign w:val="center"/>
          </w:tcPr>
          <w:p w14:paraId="4B38452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EEA2AC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restart"/>
            <w:vAlign w:val="center"/>
          </w:tcPr>
          <w:p w14:paraId="3E1A30EA">
            <w:pPr>
              <w:keepNext w:val="0"/>
              <w:keepLines w:val="0"/>
              <w:pageBreakBefore w:val="0"/>
              <w:widowControl w:val="0"/>
              <w:kinsoku/>
              <w:wordWrap/>
              <w:overflowPunct/>
              <w:topLinePunct w:val="0"/>
              <w:autoSpaceDE w:val="0"/>
              <w:autoSpaceDN w:val="0"/>
              <w:bidi w:val="0"/>
              <w:adjustRightInd/>
              <w:snapToGrid/>
              <w:spacing w:line="270" w:lineRule="exact"/>
              <w:jc w:val="center"/>
              <w:textAlignment w:val="center"/>
              <w:rPr>
                <w:rFonts w:ascii="宋体" w:hAnsi="宋体" w:cs="宋体"/>
                <w:color w:val="auto"/>
                <w:sz w:val="22"/>
                <w:szCs w:val="22"/>
              </w:rPr>
            </w:pPr>
            <w:r>
              <w:rPr>
                <w:rFonts w:hint="eastAsia" w:ascii="宋体" w:hAnsi="宋体" w:cs="宋体"/>
                <w:color w:val="auto"/>
                <w:sz w:val="22"/>
                <w:szCs w:val="22"/>
                <w:lang w:bidi="ar"/>
              </w:rPr>
              <w:t>XM-16 以市场为导向多方共建应用技术协同创新中心</w:t>
            </w:r>
          </w:p>
        </w:tc>
        <w:tc>
          <w:tcPr>
            <w:tcW w:w="3926" w:type="dxa"/>
            <w:vAlign w:val="center"/>
          </w:tcPr>
          <w:p w14:paraId="70DB1242">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电子非晶合金材料应用技术研发中心</w:t>
            </w:r>
          </w:p>
        </w:tc>
        <w:tc>
          <w:tcPr>
            <w:tcW w:w="960" w:type="dxa"/>
            <w:vMerge w:val="continue"/>
            <w:vAlign w:val="center"/>
          </w:tcPr>
          <w:p w14:paraId="6C1191C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restart"/>
            <w:vAlign w:val="center"/>
          </w:tcPr>
          <w:p w14:paraId="0EDBD54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48FCD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503" w:type="dxa"/>
            <w:vMerge w:val="continue"/>
            <w:vAlign w:val="center"/>
          </w:tcPr>
          <w:p w14:paraId="0CC6CB7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E9595E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2704" w:type="dxa"/>
            <w:vMerge w:val="continue"/>
            <w:vAlign w:val="center"/>
          </w:tcPr>
          <w:p w14:paraId="519C432E">
            <w:pPr>
              <w:keepNext w:val="0"/>
              <w:keepLines w:val="0"/>
              <w:pageBreakBefore w:val="0"/>
              <w:widowControl w:val="0"/>
              <w:kinsoku/>
              <w:wordWrap/>
              <w:overflowPunct/>
              <w:topLinePunct w:val="0"/>
              <w:autoSpaceDE w:val="0"/>
              <w:autoSpaceDN w:val="0"/>
              <w:bidi w:val="0"/>
              <w:adjustRightInd/>
              <w:snapToGrid/>
              <w:spacing w:line="270" w:lineRule="exact"/>
              <w:jc w:val="center"/>
              <w:rPr>
                <w:rFonts w:ascii="宋体" w:hAnsi="宋体" w:cs="宋体"/>
                <w:color w:val="auto"/>
                <w:sz w:val="22"/>
                <w:szCs w:val="22"/>
              </w:rPr>
            </w:pPr>
          </w:p>
        </w:tc>
        <w:tc>
          <w:tcPr>
            <w:tcW w:w="3926" w:type="dxa"/>
            <w:vAlign w:val="center"/>
          </w:tcPr>
          <w:p w14:paraId="7C7BA1BB">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现代物流技术研发中心</w:t>
            </w:r>
          </w:p>
        </w:tc>
        <w:tc>
          <w:tcPr>
            <w:tcW w:w="960" w:type="dxa"/>
            <w:vMerge w:val="continue"/>
            <w:vAlign w:val="center"/>
          </w:tcPr>
          <w:p w14:paraId="5AC6373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75FE1CB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D6D0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 w:hRule="atLeast"/>
          <w:jc w:val="center"/>
        </w:trPr>
        <w:tc>
          <w:tcPr>
            <w:tcW w:w="503" w:type="dxa"/>
            <w:vMerge w:val="continue"/>
            <w:vAlign w:val="center"/>
          </w:tcPr>
          <w:p w14:paraId="30EAFF5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401676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2208CE9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XM-17 于铁军传统工艺大师工作室</w:t>
            </w:r>
          </w:p>
        </w:tc>
        <w:tc>
          <w:tcPr>
            <w:tcW w:w="960" w:type="dxa"/>
            <w:vMerge w:val="continue"/>
            <w:vAlign w:val="center"/>
          </w:tcPr>
          <w:p w14:paraId="13E1670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restart"/>
            <w:noWrap/>
            <w:vAlign w:val="center"/>
          </w:tcPr>
          <w:p w14:paraId="5C5C81E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49E87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 w:hRule="atLeast"/>
          <w:jc w:val="center"/>
        </w:trPr>
        <w:tc>
          <w:tcPr>
            <w:tcW w:w="503" w:type="dxa"/>
            <w:vMerge w:val="continue"/>
            <w:vAlign w:val="center"/>
          </w:tcPr>
          <w:p w14:paraId="43A39A5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25CC6E6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60D743B2">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XM-18* 创新创业教育专门课程群</w:t>
            </w:r>
          </w:p>
        </w:tc>
        <w:tc>
          <w:tcPr>
            <w:tcW w:w="960" w:type="dxa"/>
            <w:vMerge w:val="continue"/>
            <w:vAlign w:val="center"/>
          </w:tcPr>
          <w:p w14:paraId="2BC877D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noWrap/>
            <w:vAlign w:val="center"/>
          </w:tcPr>
          <w:p w14:paraId="4E515842">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p>
        </w:tc>
      </w:tr>
      <w:tr w14:paraId="4FE0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 w:hRule="atLeast"/>
          <w:jc w:val="center"/>
        </w:trPr>
        <w:tc>
          <w:tcPr>
            <w:tcW w:w="503" w:type="dxa"/>
            <w:vMerge w:val="continue"/>
            <w:vAlign w:val="center"/>
          </w:tcPr>
          <w:p w14:paraId="4DC7876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42629E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noWrap/>
            <w:vAlign w:val="center"/>
          </w:tcPr>
          <w:p w14:paraId="17B8F0FA">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创新发展行动计划办公室</w:t>
            </w:r>
          </w:p>
        </w:tc>
        <w:tc>
          <w:tcPr>
            <w:tcW w:w="960" w:type="dxa"/>
            <w:vMerge w:val="continue"/>
            <w:vAlign w:val="center"/>
          </w:tcPr>
          <w:p w14:paraId="270F4B7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noWrap/>
            <w:vAlign w:val="center"/>
          </w:tcPr>
          <w:p w14:paraId="5B46C74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032DB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503" w:type="dxa"/>
            <w:vMerge w:val="continue"/>
            <w:vAlign w:val="center"/>
          </w:tcPr>
          <w:p w14:paraId="7FFF25F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FFD626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5C8A1F6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RW-1、RW-2、RW-3、RW-4、RW-5、RW-41、RW-47、RW-48 国际交流与合作任务群</w:t>
            </w:r>
          </w:p>
        </w:tc>
        <w:tc>
          <w:tcPr>
            <w:tcW w:w="960" w:type="dxa"/>
            <w:vMerge w:val="restart"/>
            <w:vAlign w:val="center"/>
          </w:tcPr>
          <w:p w14:paraId="4A6AD31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建设任务组</w:t>
            </w:r>
          </w:p>
        </w:tc>
        <w:tc>
          <w:tcPr>
            <w:tcW w:w="937" w:type="dxa"/>
            <w:vMerge w:val="restart"/>
            <w:vAlign w:val="center"/>
          </w:tcPr>
          <w:p w14:paraId="2A58E4A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00009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77C565A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6B8E98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7032C56C">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RW-6、RW-7、RW-9、RW-55、RW-56 师资队伍建设任务群</w:t>
            </w:r>
          </w:p>
        </w:tc>
        <w:tc>
          <w:tcPr>
            <w:tcW w:w="960" w:type="dxa"/>
            <w:vMerge w:val="continue"/>
            <w:vAlign w:val="center"/>
          </w:tcPr>
          <w:p w14:paraId="3F69E40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4CA6A84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F05D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503" w:type="dxa"/>
            <w:vMerge w:val="continue"/>
            <w:vAlign w:val="center"/>
          </w:tcPr>
          <w:p w14:paraId="196B852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550234A2">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38393A3A">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RW-11 数字校园建设</w:t>
            </w:r>
          </w:p>
        </w:tc>
        <w:tc>
          <w:tcPr>
            <w:tcW w:w="960" w:type="dxa"/>
            <w:vMerge w:val="continue"/>
            <w:vAlign w:val="center"/>
          </w:tcPr>
          <w:p w14:paraId="0E8DC5C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79C584A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8A8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503" w:type="dxa"/>
            <w:vMerge w:val="continue"/>
            <w:vAlign w:val="center"/>
          </w:tcPr>
          <w:p w14:paraId="6FD2C76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44987AD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282AA6F0">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RW-28、RW-35 培训与社会服务任务群</w:t>
            </w:r>
          </w:p>
        </w:tc>
        <w:tc>
          <w:tcPr>
            <w:tcW w:w="960" w:type="dxa"/>
            <w:vMerge w:val="continue"/>
            <w:vAlign w:val="center"/>
          </w:tcPr>
          <w:p w14:paraId="00F85FD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00D28DB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5D85A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0401B13C">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52A878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3A65999F">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RW-36、RW-37 专业结构调整</w:t>
            </w:r>
          </w:p>
        </w:tc>
        <w:tc>
          <w:tcPr>
            <w:tcW w:w="960" w:type="dxa"/>
            <w:vMerge w:val="continue"/>
            <w:vAlign w:val="center"/>
          </w:tcPr>
          <w:p w14:paraId="342BD01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13B83BE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178D4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29AFE28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267B47D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45354A59">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RW-38、RW-39、RW-40、RW-43 专业服务区域经济与国家发展战略</w:t>
            </w:r>
          </w:p>
        </w:tc>
        <w:tc>
          <w:tcPr>
            <w:tcW w:w="960" w:type="dxa"/>
            <w:vMerge w:val="continue"/>
            <w:vAlign w:val="center"/>
          </w:tcPr>
          <w:p w14:paraId="2E0B0D9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0863FFF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6B68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 w:hRule="atLeast"/>
          <w:jc w:val="center"/>
        </w:trPr>
        <w:tc>
          <w:tcPr>
            <w:tcW w:w="503" w:type="dxa"/>
            <w:vMerge w:val="continue"/>
            <w:vAlign w:val="center"/>
          </w:tcPr>
          <w:p w14:paraId="4063791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F617BA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2989EC4E">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RW-42、RW-44 创新创业教育</w:t>
            </w:r>
          </w:p>
        </w:tc>
        <w:tc>
          <w:tcPr>
            <w:tcW w:w="960" w:type="dxa"/>
            <w:vMerge w:val="continue"/>
            <w:vAlign w:val="center"/>
          </w:tcPr>
          <w:p w14:paraId="222C791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937" w:type="dxa"/>
            <w:vMerge w:val="continue"/>
            <w:vAlign w:val="center"/>
          </w:tcPr>
          <w:p w14:paraId="5D3CA03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790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3" w:type="dxa"/>
            <w:vMerge w:val="continue"/>
            <w:vAlign w:val="center"/>
          </w:tcPr>
          <w:p w14:paraId="22A17EB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B3866D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202AE556">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RW-46 文化产业技术技能人才培养</w:t>
            </w:r>
          </w:p>
        </w:tc>
        <w:tc>
          <w:tcPr>
            <w:tcW w:w="960" w:type="dxa"/>
            <w:vMerge w:val="continue"/>
            <w:vAlign w:val="center"/>
          </w:tcPr>
          <w:p w14:paraId="5E8A499A">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13B9685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0EB6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503" w:type="dxa"/>
            <w:vMerge w:val="continue"/>
            <w:vAlign w:val="center"/>
          </w:tcPr>
          <w:p w14:paraId="525F677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1C7F68F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464E8ACB">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RW-50 学院章程制定与实施</w:t>
            </w:r>
          </w:p>
        </w:tc>
        <w:tc>
          <w:tcPr>
            <w:tcW w:w="960" w:type="dxa"/>
            <w:vMerge w:val="continue"/>
            <w:vAlign w:val="center"/>
          </w:tcPr>
          <w:p w14:paraId="33438B63">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27E629BE">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6441D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 w:hRule="atLeast"/>
          <w:jc w:val="center"/>
        </w:trPr>
        <w:tc>
          <w:tcPr>
            <w:tcW w:w="503" w:type="dxa"/>
            <w:vMerge w:val="continue"/>
            <w:vAlign w:val="center"/>
          </w:tcPr>
          <w:p w14:paraId="55B732B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197E9A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0DFE0C9C">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RW-51 学术委员会的设立与运行</w:t>
            </w:r>
          </w:p>
        </w:tc>
        <w:tc>
          <w:tcPr>
            <w:tcW w:w="960" w:type="dxa"/>
            <w:vMerge w:val="continue"/>
            <w:vAlign w:val="center"/>
          </w:tcPr>
          <w:p w14:paraId="2C58009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62B6CF4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7F87E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503" w:type="dxa"/>
            <w:vMerge w:val="continue"/>
            <w:vAlign w:val="center"/>
          </w:tcPr>
          <w:p w14:paraId="1FBD550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463034B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650377CE">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RW-52、RW-65 质量年度报告、职业技能培养与职业精神养成</w:t>
            </w:r>
          </w:p>
        </w:tc>
        <w:tc>
          <w:tcPr>
            <w:tcW w:w="960" w:type="dxa"/>
            <w:vMerge w:val="continue"/>
            <w:vAlign w:val="center"/>
          </w:tcPr>
          <w:p w14:paraId="7DF3156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30C6D8F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6F86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 w:hRule="atLeast"/>
          <w:jc w:val="center"/>
        </w:trPr>
        <w:tc>
          <w:tcPr>
            <w:tcW w:w="503" w:type="dxa"/>
            <w:vMerge w:val="continue"/>
            <w:vAlign w:val="center"/>
          </w:tcPr>
          <w:p w14:paraId="767DC03A">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4468D2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4214902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RW-53 教学诊改</w:t>
            </w:r>
          </w:p>
        </w:tc>
        <w:tc>
          <w:tcPr>
            <w:tcW w:w="960" w:type="dxa"/>
            <w:vMerge w:val="continue"/>
            <w:vAlign w:val="center"/>
          </w:tcPr>
          <w:p w14:paraId="7AFFD37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36EA240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D163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503" w:type="dxa"/>
            <w:vMerge w:val="continue"/>
            <w:vAlign w:val="center"/>
          </w:tcPr>
          <w:p w14:paraId="179F045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774EAA3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3C924FE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RW-58 职教研究工作</w:t>
            </w:r>
          </w:p>
        </w:tc>
        <w:tc>
          <w:tcPr>
            <w:tcW w:w="960" w:type="dxa"/>
            <w:vMerge w:val="continue"/>
            <w:vAlign w:val="center"/>
          </w:tcPr>
          <w:p w14:paraId="04D1890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269D711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4A5E5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jc w:val="center"/>
        </w:trPr>
        <w:tc>
          <w:tcPr>
            <w:tcW w:w="503" w:type="dxa"/>
            <w:vMerge w:val="continue"/>
            <w:vAlign w:val="center"/>
          </w:tcPr>
          <w:p w14:paraId="4A4A179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7A32C6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496D8FDB">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RW-59、RW-60 辅导员队伍建设、学生思想政治教育、心理健康教育</w:t>
            </w:r>
          </w:p>
        </w:tc>
        <w:tc>
          <w:tcPr>
            <w:tcW w:w="960" w:type="dxa"/>
            <w:vMerge w:val="continue"/>
            <w:vAlign w:val="center"/>
          </w:tcPr>
          <w:p w14:paraId="3AADD8C6">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66E37457">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2BA1A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503" w:type="dxa"/>
            <w:vMerge w:val="continue"/>
            <w:vAlign w:val="center"/>
          </w:tcPr>
          <w:p w14:paraId="2F0947B9">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46503F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330C5CDF">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RW-61 推进大学生思想政治教育质量测评体系</w:t>
            </w:r>
          </w:p>
        </w:tc>
        <w:tc>
          <w:tcPr>
            <w:tcW w:w="960" w:type="dxa"/>
            <w:vMerge w:val="continue"/>
            <w:vAlign w:val="center"/>
          </w:tcPr>
          <w:p w14:paraId="3F834CA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2862FA0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0D7AF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 w:hRule="atLeast"/>
          <w:jc w:val="center"/>
        </w:trPr>
        <w:tc>
          <w:tcPr>
            <w:tcW w:w="503" w:type="dxa"/>
            <w:vMerge w:val="continue"/>
            <w:vAlign w:val="center"/>
          </w:tcPr>
          <w:p w14:paraId="7AD517E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3E548910">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77DED6B0">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RW-62 创建平安校园、和谐校园</w:t>
            </w:r>
          </w:p>
        </w:tc>
        <w:tc>
          <w:tcPr>
            <w:tcW w:w="960" w:type="dxa"/>
            <w:vMerge w:val="continue"/>
            <w:vAlign w:val="center"/>
          </w:tcPr>
          <w:p w14:paraId="058BB7F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4897B53B">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50213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 w:hRule="atLeast"/>
          <w:jc w:val="center"/>
        </w:trPr>
        <w:tc>
          <w:tcPr>
            <w:tcW w:w="503" w:type="dxa"/>
            <w:vMerge w:val="continue"/>
            <w:vAlign w:val="center"/>
          </w:tcPr>
          <w:p w14:paraId="47D64AA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515524B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0996A345">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RW-63 落实《高等学校体育工作基本标准》</w:t>
            </w:r>
          </w:p>
        </w:tc>
        <w:tc>
          <w:tcPr>
            <w:tcW w:w="960" w:type="dxa"/>
            <w:vMerge w:val="continue"/>
            <w:vAlign w:val="center"/>
          </w:tcPr>
          <w:p w14:paraId="006124C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58E8321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75D0D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 w:hRule="atLeast"/>
          <w:jc w:val="center"/>
        </w:trPr>
        <w:tc>
          <w:tcPr>
            <w:tcW w:w="503" w:type="dxa"/>
            <w:vMerge w:val="continue"/>
            <w:vAlign w:val="center"/>
          </w:tcPr>
          <w:p w14:paraId="725CE321">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03835DE6">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739F3994">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RW-64 文化素质教育、校园文化建设、学生社团活动</w:t>
            </w:r>
          </w:p>
        </w:tc>
        <w:tc>
          <w:tcPr>
            <w:tcW w:w="960" w:type="dxa"/>
            <w:vMerge w:val="continue"/>
            <w:vAlign w:val="center"/>
          </w:tcPr>
          <w:p w14:paraId="3643995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Merge w:val="continue"/>
            <w:vAlign w:val="center"/>
          </w:tcPr>
          <w:p w14:paraId="78527B38">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r>
      <w:tr w14:paraId="37967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03" w:type="dxa"/>
            <w:vMerge w:val="restart"/>
            <w:vAlign w:val="center"/>
          </w:tcPr>
          <w:p w14:paraId="6CCF2C9B">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3</w:t>
            </w:r>
          </w:p>
        </w:tc>
        <w:tc>
          <w:tcPr>
            <w:tcW w:w="1193" w:type="dxa"/>
            <w:vMerge w:val="restart"/>
            <w:vAlign w:val="center"/>
          </w:tcPr>
          <w:p w14:paraId="279944E1">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现代学徒制（第二批试点）</w:t>
            </w:r>
          </w:p>
        </w:tc>
        <w:tc>
          <w:tcPr>
            <w:tcW w:w="6630" w:type="dxa"/>
            <w:gridSpan w:val="2"/>
            <w:vAlign w:val="center"/>
          </w:tcPr>
          <w:p w14:paraId="70CBFB7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1.保险实务专业（保险经纪方向）</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2.数字展示技术专业（南方数码）</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3.学徒制办公室</w:t>
            </w:r>
          </w:p>
        </w:tc>
        <w:tc>
          <w:tcPr>
            <w:tcW w:w="960" w:type="dxa"/>
            <w:vMerge w:val="restart"/>
            <w:vAlign w:val="center"/>
          </w:tcPr>
          <w:p w14:paraId="7F09099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专项工作组</w:t>
            </w:r>
          </w:p>
        </w:tc>
        <w:tc>
          <w:tcPr>
            <w:tcW w:w="937" w:type="dxa"/>
            <w:vAlign w:val="center"/>
          </w:tcPr>
          <w:p w14:paraId="745182F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6F6B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503" w:type="dxa"/>
            <w:vMerge w:val="continue"/>
            <w:vAlign w:val="center"/>
          </w:tcPr>
          <w:p w14:paraId="1034954C">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60ECE094">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58D192F5">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1.航空服务专业（华航空乘）</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2.酒店管理专业（先知班）</w:t>
            </w:r>
          </w:p>
        </w:tc>
        <w:tc>
          <w:tcPr>
            <w:tcW w:w="960" w:type="dxa"/>
            <w:vMerge w:val="continue"/>
            <w:vAlign w:val="center"/>
          </w:tcPr>
          <w:p w14:paraId="7B355D6E">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c>
          <w:tcPr>
            <w:tcW w:w="937" w:type="dxa"/>
            <w:vAlign w:val="center"/>
          </w:tcPr>
          <w:p w14:paraId="5878E67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r w14:paraId="3117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503" w:type="dxa"/>
            <w:vMerge w:val="restart"/>
            <w:vAlign w:val="center"/>
          </w:tcPr>
          <w:p w14:paraId="257C2B9D">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4</w:t>
            </w:r>
          </w:p>
        </w:tc>
        <w:tc>
          <w:tcPr>
            <w:tcW w:w="1193" w:type="dxa"/>
            <w:vMerge w:val="restart"/>
            <w:vAlign w:val="center"/>
          </w:tcPr>
          <w:p w14:paraId="14829F1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导游专业教学资源库</w:t>
            </w:r>
          </w:p>
        </w:tc>
        <w:tc>
          <w:tcPr>
            <w:tcW w:w="6630" w:type="dxa"/>
            <w:gridSpan w:val="2"/>
            <w:vAlign w:val="center"/>
          </w:tcPr>
          <w:p w14:paraId="5B3353B1">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项目建设小组</w:t>
            </w:r>
          </w:p>
        </w:tc>
        <w:tc>
          <w:tcPr>
            <w:tcW w:w="960" w:type="dxa"/>
            <w:vAlign w:val="center"/>
          </w:tcPr>
          <w:p w14:paraId="7736F2AB">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center"/>
              <w:rPr>
                <w:rFonts w:ascii="宋体" w:hAnsi="宋体" w:cs="宋体"/>
                <w:color w:val="auto"/>
                <w:sz w:val="22"/>
                <w:szCs w:val="22"/>
              </w:rPr>
            </w:pPr>
            <w:r>
              <w:rPr>
                <w:rFonts w:hint="eastAsia" w:ascii="宋体" w:hAnsi="宋体" w:cs="宋体"/>
                <w:color w:val="auto"/>
                <w:sz w:val="22"/>
                <w:szCs w:val="22"/>
              </w:rPr>
              <w:t>专项工作组</w:t>
            </w:r>
          </w:p>
        </w:tc>
        <w:tc>
          <w:tcPr>
            <w:tcW w:w="937" w:type="dxa"/>
            <w:vMerge w:val="restart"/>
            <w:vAlign w:val="center"/>
          </w:tcPr>
          <w:p w14:paraId="6D8511B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国家级</w:t>
            </w:r>
          </w:p>
        </w:tc>
      </w:tr>
      <w:tr w14:paraId="44525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4" w:hRule="atLeast"/>
          <w:jc w:val="center"/>
        </w:trPr>
        <w:tc>
          <w:tcPr>
            <w:tcW w:w="503" w:type="dxa"/>
            <w:vMerge w:val="continue"/>
            <w:vAlign w:val="center"/>
          </w:tcPr>
          <w:p w14:paraId="121A2E03">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1193" w:type="dxa"/>
            <w:vMerge w:val="continue"/>
            <w:vAlign w:val="center"/>
          </w:tcPr>
          <w:p w14:paraId="2C40DABD">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6630" w:type="dxa"/>
            <w:gridSpan w:val="2"/>
            <w:vAlign w:val="center"/>
          </w:tcPr>
          <w:p w14:paraId="192B6A2D">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rPr>
            </w:pPr>
            <w:r>
              <w:rPr>
                <w:rFonts w:hint="eastAsia" w:ascii="宋体" w:hAnsi="宋体" w:cs="宋体"/>
                <w:color w:val="auto"/>
                <w:sz w:val="22"/>
                <w:szCs w:val="22"/>
                <w:lang w:bidi="ar"/>
              </w:rPr>
              <w:t>1.建设领导小组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2.资金管理小组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3.《旅游市场营销》课程组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4.《导游实务》课程组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5.《模拟导游》课程组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6.《旅游地国家概况》课程组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7.《导游礼仪》课程组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8.《旅游法规实务》课程组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9.《导游英语》课程组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10.《旅游服务心理》课程组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11.企业案例库建设组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12.技能训练模块建设组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13.导游词库建设组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14.培训包开发建设组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15.虚拟旅游线路建设组</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16.电子化教材建设组--《模拟导游》教材</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17.电子化教材建设组--《导游实务》教材</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18.电子化教材建设组--《导游礼仪》教材</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19.电子化教材建设组--《旅游地国家概况》教材</w:t>
            </w:r>
          </w:p>
        </w:tc>
        <w:tc>
          <w:tcPr>
            <w:tcW w:w="960" w:type="dxa"/>
            <w:vAlign w:val="center"/>
          </w:tcPr>
          <w:p w14:paraId="11C610A7">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建设任务组</w:t>
            </w:r>
          </w:p>
        </w:tc>
        <w:tc>
          <w:tcPr>
            <w:tcW w:w="937" w:type="dxa"/>
            <w:vMerge w:val="continue"/>
            <w:vAlign w:val="center"/>
          </w:tcPr>
          <w:p w14:paraId="3091C742">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p>
        </w:tc>
      </w:tr>
      <w:tr w14:paraId="3788F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503" w:type="dxa"/>
            <w:vAlign w:val="center"/>
          </w:tcPr>
          <w:p w14:paraId="2C1BC3CF">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5</w:t>
            </w:r>
          </w:p>
        </w:tc>
        <w:tc>
          <w:tcPr>
            <w:tcW w:w="1193" w:type="dxa"/>
            <w:vAlign w:val="center"/>
          </w:tcPr>
          <w:p w14:paraId="37CAD28C">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创新发展行动计划（2019-2021年）</w:t>
            </w:r>
          </w:p>
        </w:tc>
        <w:tc>
          <w:tcPr>
            <w:tcW w:w="6630" w:type="dxa"/>
            <w:gridSpan w:val="2"/>
            <w:vAlign w:val="center"/>
          </w:tcPr>
          <w:p w14:paraId="2C1F96B3">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1.导游骨干专业群</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2.审计骨干专业群</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3.导游专业群高水平实训基地</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4.智慧财经高水平实训基地</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5.国家优质校建设项目</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6.会计专业教师培养培训基地</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7.物流管理专业群“双师型”教师培养培训基地</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8.导游专业群职业教育教学资源库</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9.经管类跨专业虚拟仿真实训中心</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10.河北省高校电子非晶合金材料应用技术协同创新中心</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11.现代物流技术研发中心</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12.创新创业教育专门课程群</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13.传统工艺大师工作室</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14.财经省级职业技能大赛基地</w:t>
            </w:r>
            <w:r>
              <w:rPr>
                <w:rFonts w:hint="eastAsia" w:ascii="宋体" w:hAnsi="宋体" w:cs="宋体"/>
                <w:color w:val="auto"/>
                <w:sz w:val="22"/>
                <w:szCs w:val="22"/>
                <w:lang w:bidi="ar"/>
              </w:rPr>
              <w:br w:type="textWrapping"/>
            </w:r>
            <w:r>
              <w:rPr>
                <w:rFonts w:hint="eastAsia" w:ascii="宋体" w:hAnsi="宋体" w:cs="宋体"/>
                <w:color w:val="auto"/>
                <w:sz w:val="22"/>
                <w:szCs w:val="22"/>
                <w:lang w:bidi="ar"/>
              </w:rPr>
              <w:t>15.二创创新发展行动计划办公室</w:t>
            </w:r>
          </w:p>
          <w:p w14:paraId="28A4A300">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16.《网站前台美工设计》职业教育在线精品课程</w:t>
            </w:r>
          </w:p>
          <w:p w14:paraId="3B56B448">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17.《电气控制与PLC》职业教育在线精品课程</w:t>
            </w:r>
          </w:p>
          <w:p w14:paraId="63B44F85">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18.《建设工程项目管理》职业教育在线精品课程</w:t>
            </w:r>
          </w:p>
          <w:p w14:paraId="279B6078">
            <w:pPr>
              <w:keepNext w:val="0"/>
              <w:keepLines w:val="0"/>
              <w:pageBreakBefore w:val="0"/>
              <w:widowControl w:val="0"/>
              <w:kinsoku/>
              <w:wordWrap/>
              <w:overflowPunct/>
              <w:topLinePunct w:val="0"/>
              <w:autoSpaceDE w:val="0"/>
              <w:autoSpaceDN w:val="0"/>
              <w:bidi w:val="0"/>
              <w:adjustRightInd/>
              <w:snapToGrid/>
              <w:spacing w:line="270" w:lineRule="exact"/>
              <w:textAlignment w:val="center"/>
              <w:rPr>
                <w:rFonts w:ascii="宋体" w:hAnsi="宋体" w:cs="宋体"/>
                <w:color w:val="auto"/>
                <w:sz w:val="22"/>
                <w:szCs w:val="22"/>
                <w:lang w:bidi="ar"/>
              </w:rPr>
            </w:pPr>
            <w:r>
              <w:rPr>
                <w:rFonts w:hint="eastAsia" w:ascii="宋体" w:hAnsi="宋体" w:cs="宋体"/>
                <w:color w:val="auto"/>
                <w:sz w:val="22"/>
                <w:szCs w:val="22"/>
                <w:lang w:bidi="ar"/>
              </w:rPr>
              <w:t>19.《旅游市场营销》职业教育在线精品课程</w:t>
            </w:r>
          </w:p>
        </w:tc>
        <w:tc>
          <w:tcPr>
            <w:tcW w:w="960" w:type="dxa"/>
            <w:vAlign w:val="center"/>
          </w:tcPr>
          <w:p w14:paraId="4D3EA7F9">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rPr>
              <w:t>专项工作组</w:t>
            </w:r>
          </w:p>
        </w:tc>
        <w:tc>
          <w:tcPr>
            <w:tcW w:w="937" w:type="dxa"/>
            <w:vAlign w:val="center"/>
          </w:tcPr>
          <w:p w14:paraId="7D962F15">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省级</w:t>
            </w:r>
          </w:p>
        </w:tc>
      </w:tr>
    </w:tbl>
    <w:p w14:paraId="77E3947B">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仿宋" w:hAnsi="仿宋" w:eastAsia="仿宋" w:cs="仿宋"/>
          <w:color w:val="auto"/>
          <w:sz w:val="24"/>
          <w:szCs w:val="28"/>
        </w:rPr>
      </w:pPr>
    </w:p>
    <w:p w14:paraId="2D5B7833">
      <w:pPr>
        <w:keepNext w:val="0"/>
        <w:keepLines w:val="0"/>
        <w:pageBreakBefore w:val="0"/>
        <w:widowControl w:val="0"/>
        <w:kinsoku/>
        <w:wordWrap/>
        <w:overflowPunct/>
        <w:topLinePunct w:val="0"/>
        <w:bidi w:val="0"/>
        <w:adjustRightInd/>
        <w:snapToGrid/>
        <w:rPr>
          <w:rFonts w:ascii="仿宋" w:hAnsi="仿宋" w:eastAsia="仿宋" w:cs="仿宋"/>
          <w:color w:val="auto"/>
          <w:sz w:val="24"/>
          <w:szCs w:val="28"/>
        </w:rPr>
      </w:pPr>
      <w:r>
        <w:rPr>
          <w:rFonts w:hint="eastAsia" w:ascii="仿宋" w:hAnsi="仿宋" w:eastAsia="仿宋" w:cs="仿宋"/>
          <w:color w:val="auto"/>
          <w:sz w:val="24"/>
          <w:szCs w:val="28"/>
        </w:rPr>
        <w:br w:type="page"/>
      </w:r>
    </w:p>
    <w:p w14:paraId="062DFA6E">
      <w:pPr>
        <w:pStyle w:val="7"/>
        <w:keepNext w:val="0"/>
        <w:keepLines w:val="0"/>
        <w:pageBreakBefore w:val="0"/>
        <w:widowControl w:val="0"/>
        <w:tabs>
          <w:tab w:val="left" w:pos="1229"/>
        </w:tabs>
        <w:kinsoku/>
        <w:wordWrap/>
        <w:overflowPunct/>
        <w:topLinePunct w:val="0"/>
        <w:bidi w:val="0"/>
        <w:adjustRightInd/>
        <w:snapToGrid/>
        <w:spacing w:before="0"/>
        <w:ind w:left="0" w:firstLine="0"/>
        <w:rPr>
          <w:rFonts w:ascii="仿宋" w:hAnsi="仿宋" w:eastAsia="仿宋" w:cs="仿宋"/>
          <w:color w:val="auto"/>
          <w:sz w:val="24"/>
          <w:szCs w:val="28"/>
        </w:rPr>
      </w:pPr>
      <w:r>
        <w:rPr>
          <w:rFonts w:hint="eastAsia" w:ascii="黑体" w:hAnsi="黑体" w:eastAsia="黑体" w:cs="黑体"/>
          <w:color w:val="auto"/>
          <w:sz w:val="24"/>
          <w:szCs w:val="28"/>
        </w:rPr>
        <w:t>附录7</w:t>
      </w:r>
    </w:p>
    <w:tbl>
      <w:tblPr>
        <w:tblStyle w:val="4"/>
        <w:tblW w:w="10193" w:type="dxa"/>
        <w:jc w:val="center"/>
        <w:tblLayout w:type="fixed"/>
        <w:tblCellMar>
          <w:top w:w="0" w:type="dxa"/>
          <w:left w:w="108" w:type="dxa"/>
          <w:bottom w:w="0" w:type="dxa"/>
          <w:right w:w="108" w:type="dxa"/>
        </w:tblCellMar>
      </w:tblPr>
      <w:tblGrid>
        <w:gridCol w:w="886"/>
        <w:gridCol w:w="1107"/>
        <w:gridCol w:w="1155"/>
        <w:gridCol w:w="7045"/>
      </w:tblGrid>
      <w:tr w14:paraId="7245DDB2">
        <w:tblPrEx>
          <w:tblCellMar>
            <w:top w:w="0" w:type="dxa"/>
            <w:left w:w="108" w:type="dxa"/>
            <w:bottom w:w="0" w:type="dxa"/>
            <w:right w:w="108" w:type="dxa"/>
          </w:tblCellMar>
        </w:tblPrEx>
        <w:trPr>
          <w:trHeight w:val="720" w:hRule="atLeast"/>
          <w:jc w:val="center"/>
        </w:trPr>
        <w:tc>
          <w:tcPr>
            <w:tcW w:w="10193" w:type="dxa"/>
            <w:gridSpan w:val="4"/>
            <w:tcBorders>
              <w:top w:val="nil"/>
              <w:left w:val="nil"/>
              <w:bottom w:val="nil"/>
              <w:right w:val="nil"/>
            </w:tcBorders>
            <w:vAlign w:val="center"/>
          </w:tcPr>
          <w:p w14:paraId="40C6D43D">
            <w:pPr>
              <w:keepNext w:val="0"/>
              <w:keepLines w:val="0"/>
              <w:pageBreakBefore w:val="0"/>
              <w:widowControl w:val="0"/>
              <w:kinsoku/>
              <w:wordWrap/>
              <w:overflowPunct/>
              <w:topLinePunct w:val="0"/>
              <w:bidi w:val="0"/>
              <w:adjustRightInd/>
              <w:snapToGrid/>
              <w:jc w:val="center"/>
              <w:textAlignment w:val="center"/>
              <w:rPr>
                <w:b/>
                <w:bCs/>
                <w:color w:val="auto"/>
                <w:sz w:val="32"/>
                <w:szCs w:val="32"/>
              </w:rPr>
            </w:pPr>
            <w:r>
              <w:rPr>
                <w:rFonts w:hint="eastAsia" w:ascii="方正小标宋简体" w:hAnsi="方正小标宋简体" w:eastAsia="方正小标宋简体" w:cs="方正小标宋简体"/>
                <w:color w:val="auto"/>
                <w:sz w:val="32"/>
                <w:szCs w:val="32"/>
                <w:lang w:bidi="ar"/>
              </w:rPr>
              <w:t>高水平论文/学术会议目录</w:t>
            </w:r>
          </w:p>
        </w:tc>
      </w:tr>
      <w:tr w14:paraId="04719810">
        <w:tblPrEx>
          <w:tblCellMar>
            <w:top w:w="0" w:type="dxa"/>
            <w:left w:w="108" w:type="dxa"/>
            <w:bottom w:w="0" w:type="dxa"/>
            <w:right w:w="108" w:type="dxa"/>
          </w:tblCellMar>
        </w:tblPrEx>
        <w:trPr>
          <w:trHeight w:val="450" w:hRule="atLeast"/>
          <w:jc w:val="center"/>
        </w:trPr>
        <w:tc>
          <w:tcPr>
            <w:tcW w:w="886" w:type="dxa"/>
            <w:vMerge w:val="restart"/>
            <w:tcBorders>
              <w:top w:val="single" w:color="000000" w:sz="4" w:space="0"/>
              <w:left w:val="single" w:color="000000" w:sz="4" w:space="0"/>
              <w:bottom w:val="single" w:color="000000" w:sz="4" w:space="0"/>
              <w:right w:val="single" w:color="000000" w:sz="4" w:space="0"/>
            </w:tcBorders>
            <w:vAlign w:val="center"/>
          </w:tcPr>
          <w:p w14:paraId="7B1DD702">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高水平论文</w:t>
            </w:r>
          </w:p>
        </w:tc>
        <w:tc>
          <w:tcPr>
            <w:tcW w:w="1107" w:type="dxa"/>
            <w:tcBorders>
              <w:top w:val="single" w:color="000000" w:sz="4" w:space="0"/>
              <w:left w:val="single" w:color="000000" w:sz="4" w:space="0"/>
              <w:bottom w:val="single" w:color="000000" w:sz="4" w:space="0"/>
              <w:right w:val="single" w:color="000000" w:sz="4" w:space="0"/>
            </w:tcBorders>
            <w:vAlign w:val="center"/>
          </w:tcPr>
          <w:p w14:paraId="2DC47564">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级别</w:t>
            </w: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74B5CF74">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期刊/报刊</w:t>
            </w:r>
          </w:p>
        </w:tc>
      </w:tr>
      <w:tr w14:paraId="792014B8">
        <w:tblPrEx>
          <w:tblCellMar>
            <w:top w:w="0" w:type="dxa"/>
            <w:left w:w="108" w:type="dxa"/>
            <w:bottom w:w="0" w:type="dxa"/>
            <w:right w:w="108" w:type="dxa"/>
          </w:tblCellMar>
        </w:tblPrEx>
        <w:trPr>
          <w:trHeight w:val="585"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74586951">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restart"/>
            <w:tcBorders>
              <w:top w:val="nil"/>
              <w:left w:val="single" w:color="000000" w:sz="4" w:space="0"/>
              <w:bottom w:val="single" w:color="000000" w:sz="4" w:space="0"/>
              <w:right w:val="single" w:color="000000" w:sz="4" w:space="0"/>
            </w:tcBorders>
            <w:vAlign w:val="center"/>
          </w:tcPr>
          <w:p w14:paraId="266BC4EF">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顶级期刊论文</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4A107680">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自然科学类</w:t>
            </w:r>
          </w:p>
        </w:tc>
        <w:tc>
          <w:tcPr>
            <w:tcW w:w="7045" w:type="dxa"/>
            <w:tcBorders>
              <w:top w:val="single" w:color="000000" w:sz="4" w:space="0"/>
              <w:left w:val="single" w:color="000000" w:sz="4" w:space="0"/>
              <w:bottom w:val="single" w:color="000000" w:sz="4" w:space="0"/>
              <w:right w:val="single" w:color="000000" w:sz="4" w:space="0"/>
            </w:tcBorders>
            <w:vAlign w:val="center"/>
          </w:tcPr>
          <w:p w14:paraId="06613F12">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1.中科院TOP期刊，以中科院文献情报中心期刊分区表Q1和Q2查询结果为准</w:t>
            </w:r>
          </w:p>
        </w:tc>
      </w:tr>
      <w:tr w14:paraId="74F5B773">
        <w:tblPrEx>
          <w:tblCellMar>
            <w:top w:w="0" w:type="dxa"/>
            <w:left w:w="108" w:type="dxa"/>
            <w:bottom w:w="0" w:type="dxa"/>
            <w:right w:w="108" w:type="dxa"/>
          </w:tblCellMar>
        </w:tblPrEx>
        <w:trPr>
          <w:trHeight w:val="404"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6DB43C78">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top w:val="nil"/>
              <w:left w:val="single" w:color="000000" w:sz="4" w:space="0"/>
              <w:bottom w:val="single" w:color="000000" w:sz="4" w:space="0"/>
              <w:right w:val="single" w:color="000000" w:sz="4" w:space="0"/>
            </w:tcBorders>
            <w:vAlign w:val="center"/>
          </w:tcPr>
          <w:p w14:paraId="10F08379">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49F2B665">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7045" w:type="dxa"/>
            <w:tcBorders>
              <w:top w:val="single" w:color="000000" w:sz="4" w:space="0"/>
              <w:left w:val="single" w:color="000000" w:sz="4" w:space="0"/>
              <w:bottom w:val="single" w:color="000000" w:sz="4" w:space="0"/>
              <w:right w:val="single" w:color="000000" w:sz="4" w:space="0"/>
            </w:tcBorders>
            <w:vAlign w:val="center"/>
          </w:tcPr>
          <w:p w14:paraId="144AD14A">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2.《自然》(Nature)/《科学》(Science)/《细胞》（Cell）</w:t>
            </w:r>
          </w:p>
        </w:tc>
      </w:tr>
      <w:tr w14:paraId="7A6358E5">
        <w:tblPrEx>
          <w:tblCellMar>
            <w:top w:w="0" w:type="dxa"/>
            <w:left w:w="108" w:type="dxa"/>
            <w:bottom w:w="0" w:type="dxa"/>
            <w:right w:w="108" w:type="dxa"/>
          </w:tblCellMar>
        </w:tblPrEx>
        <w:trPr>
          <w:trHeight w:val="637"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03BFACBA">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top w:val="nil"/>
              <w:left w:val="single" w:color="000000" w:sz="4" w:space="0"/>
              <w:bottom w:val="single" w:color="000000" w:sz="4" w:space="0"/>
              <w:right w:val="single" w:color="000000" w:sz="4" w:space="0"/>
            </w:tcBorders>
            <w:vAlign w:val="center"/>
          </w:tcPr>
          <w:p w14:paraId="7D3771B7">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64ACAF3F">
            <w:pPr>
              <w:keepNext w:val="0"/>
              <w:keepLines w:val="0"/>
              <w:pageBreakBefore w:val="0"/>
              <w:widowControl w:val="0"/>
              <w:kinsoku/>
              <w:wordWrap/>
              <w:overflowPunct/>
              <w:topLinePunct w:val="0"/>
              <w:bidi w:val="0"/>
              <w:adjustRightInd/>
              <w:snapToGrid/>
              <w:jc w:val="center"/>
              <w:rPr>
                <w:rFonts w:ascii="宋体" w:hAnsi="宋体" w:cs="宋体"/>
                <w:color w:val="auto"/>
                <w:sz w:val="22"/>
                <w:szCs w:val="22"/>
              </w:rPr>
            </w:pPr>
          </w:p>
        </w:tc>
        <w:tc>
          <w:tcPr>
            <w:tcW w:w="7045" w:type="dxa"/>
            <w:tcBorders>
              <w:top w:val="single" w:color="000000" w:sz="4" w:space="0"/>
              <w:left w:val="single" w:color="000000" w:sz="4" w:space="0"/>
              <w:bottom w:val="single" w:color="000000" w:sz="4" w:space="0"/>
              <w:right w:val="single" w:color="000000" w:sz="4" w:space="0"/>
            </w:tcBorders>
            <w:vAlign w:val="center"/>
          </w:tcPr>
          <w:p w14:paraId="24E0A375">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3.SCIE一区检索的Nature子刊/Science子刊/Cell子刊、Nature Index选定期刊</w:t>
            </w:r>
          </w:p>
        </w:tc>
      </w:tr>
      <w:tr w14:paraId="1CCCA35D">
        <w:tblPrEx>
          <w:tblCellMar>
            <w:top w:w="0" w:type="dxa"/>
            <w:left w:w="108" w:type="dxa"/>
            <w:bottom w:w="0" w:type="dxa"/>
            <w:right w:w="108" w:type="dxa"/>
          </w:tblCellMar>
        </w:tblPrEx>
        <w:trPr>
          <w:trHeight w:val="647"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196D159B">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top w:val="nil"/>
              <w:left w:val="single" w:color="000000" w:sz="4" w:space="0"/>
              <w:bottom w:val="single" w:color="000000" w:sz="4" w:space="0"/>
              <w:right w:val="single" w:color="000000" w:sz="4" w:space="0"/>
            </w:tcBorders>
            <w:vAlign w:val="center"/>
          </w:tcPr>
          <w:p w14:paraId="7DDD3457">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55" w:type="dxa"/>
            <w:tcBorders>
              <w:top w:val="single" w:color="000000" w:sz="4" w:space="0"/>
              <w:left w:val="single" w:color="000000" w:sz="4" w:space="0"/>
              <w:bottom w:val="single" w:color="000000" w:sz="4" w:space="0"/>
              <w:right w:val="single" w:color="000000" w:sz="4" w:space="0"/>
            </w:tcBorders>
            <w:vAlign w:val="center"/>
          </w:tcPr>
          <w:p w14:paraId="7F7F1958">
            <w:pPr>
              <w:keepNext w:val="0"/>
              <w:keepLines w:val="0"/>
              <w:pageBreakBefore w:val="0"/>
              <w:widowControl w:val="0"/>
              <w:kinsoku/>
              <w:wordWrap/>
              <w:overflowPunct/>
              <w:topLinePunct w:val="0"/>
              <w:bidi w:val="0"/>
              <w:adjustRightInd/>
              <w:snapToGrid/>
              <w:jc w:val="center"/>
              <w:textAlignment w:val="center"/>
              <w:rPr>
                <w:rFonts w:ascii="宋体" w:hAnsi="宋体" w:cs="宋体"/>
                <w:color w:val="auto"/>
                <w:sz w:val="22"/>
                <w:szCs w:val="22"/>
              </w:rPr>
            </w:pPr>
            <w:r>
              <w:rPr>
                <w:rFonts w:hint="eastAsia" w:ascii="宋体" w:hAnsi="宋体" w:cs="宋体"/>
                <w:color w:val="auto"/>
                <w:sz w:val="22"/>
                <w:szCs w:val="22"/>
                <w:lang w:bidi="ar"/>
              </w:rPr>
              <w:t>社会科学类</w:t>
            </w:r>
          </w:p>
        </w:tc>
        <w:tc>
          <w:tcPr>
            <w:tcW w:w="7045" w:type="dxa"/>
            <w:tcBorders>
              <w:top w:val="single" w:color="000000" w:sz="4" w:space="0"/>
              <w:left w:val="single" w:color="000000" w:sz="4" w:space="0"/>
              <w:bottom w:val="single" w:color="000000" w:sz="4" w:space="0"/>
              <w:right w:val="single" w:color="000000" w:sz="4" w:space="0"/>
            </w:tcBorders>
            <w:vAlign w:val="center"/>
          </w:tcPr>
          <w:p w14:paraId="6D1E09AE">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中国社会科学评价研究院发布的《中国人文社会科学期刊AMI综合评价报告》中的顶级期刊论文</w:t>
            </w:r>
          </w:p>
        </w:tc>
      </w:tr>
      <w:tr w14:paraId="69CBD945">
        <w:tblPrEx>
          <w:tblCellMar>
            <w:top w:w="0" w:type="dxa"/>
            <w:left w:w="108" w:type="dxa"/>
            <w:bottom w:w="0" w:type="dxa"/>
            <w:right w:w="108" w:type="dxa"/>
          </w:tblCellMar>
        </w:tblPrEx>
        <w:trPr>
          <w:trHeight w:val="457"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1930F1AE">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restart"/>
            <w:tcBorders>
              <w:top w:val="single" w:color="000000" w:sz="4" w:space="0"/>
              <w:left w:val="single" w:color="000000" w:sz="4" w:space="0"/>
              <w:right w:val="single" w:color="000000" w:sz="4" w:space="0"/>
            </w:tcBorders>
            <w:vAlign w:val="center"/>
          </w:tcPr>
          <w:p w14:paraId="5BA6C421">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重要影响论文</w:t>
            </w: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05C9717F">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1.SCIE《科学引文索引》和SSCI《社会科学引文索引》一、二区检索论文</w:t>
            </w:r>
          </w:p>
        </w:tc>
      </w:tr>
      <w:tr w14:paraId="59E0A146">
        <w:tblPrEx>
          <w:tblCellMar>
            <w:top w:w="0" w:type="dxa"/>
            <w:left w:w="108" w:type="dxa"/>
            <w:bottom w:w="0" w:type="dxa"/>
            <w:right w:w="108" w:type="dxa"/>
          </w:tblCellMar>
        </w:tblPrEx>
        <w:trPr>
          <w:trHeight w:val="43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67BC604F">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18CF524F">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51787D9A">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2.CSSCI来源期刊（不含扩展版）论文</w:t>
            </w:r>
          </w:p>
        </w:tc>
      </w:tr>
      <w:tr w14:paraId="2ED534CD">
        <w:tblPrEx>
          <w:tblCellMar>
            <w:top w:w="0" w:type="dxa"/>
            <w:left w:w="108" w:type="dxa"/>
            <w:bottom w:w="0" w:type="dxa"/>
            <w:right w:w="108" w:type="dxa"/>
          </w:tblCellMar>
        </w:tblPrEx>
        <w:trPr>
          <w:trHeight w:val="459"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1E0B11EA">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132D2ABE">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561B7C9C">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3.《求是》《新华文摘》（全文转载）论文</w:t>
            </w:r>
          </w:p>
        </w:tc>
      </w:tr>
      <w:tr w14:paraId="75E8662A">
        <w:tblPrEx>
          <w:tblCellMar>
            <w:top w:w="0" w:type="dxa"/>
            <w:left w:w="108" w:type="dxa"/>
            <w:bottom w:w="0" w:type="dxa"/>
            <w:right w:w="108" w:type="dxa"/>
          </w:tblCellMar>
        </w:tblPrEx>
        <w:trPr>
          <w:trHeight w:val="105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2252CD9E">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44CDE547">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54EB55F3">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4.中国社会科学评价研究院发布的《中国人文社会科学期刊AMI综合评价报告》中的期刊论文（不含扩展、入库）（中国人文社会科学期刊AMI综合评价报告</w:t>
            </w:r>
            <w:r>
              <w:rPr>
                <w:rFonts w:hint="eastAsia" w:ascii="宋体" w:hAnsi="宋体" w:cs="宋体"/>
                <w:color w:val="auto"/>
                <w:sz w:val="22"/>
                <w:szCs w:val="22"/>
                <w:highlight w:val="none"/>
                <w:shd w:val="clear"/>
                <w:lang w:bidi="ar"/>
              </w:rPr>
              <w:t>2022</w:t>
            </w:r>
            <w:r>
              <w:rPr>
                <w:rFonts w:hint="eastAsia" w:ascii="宋体" w:hAnsi="宋体" w:cs="宋体"/>
                <w:color w:val="auto"/>
                <w:sz w:val="22"/>
                <w:szCs w:val="22"/>
                <w:lang w:bidi="ar"/>
              </w:rPr>
              <w:t>期刊目录http://www.360doc.com/content/12/0121/07/52230674_1063540741.shtml</w:t>
            </w:r>
          </w:p>
        </w:tc>
      </w:tr>
      <w:tr w14:paraId="55EC64DA">
        <w:tblPrEx>
          <w:tblCellMar>
            <w:top w:w="0" w:type="dxa"/>
            <w:left w:w="108" w:type="dxa"/>
            <w:bottom w:w="0" w:type="dxa"/>
            <w:right w:w="108" w:type="dxa"/>
          </w:tblCellMar>
        </w:tblPrEx>
        <w:trPr>
          <w:trHeight w:val="47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5491914C">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256F908E">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68B7B8E3">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5.《人民日报》《光明日报》《经济日报》《科技日报》和《中国教育报》理论版文章</w:t>
            </w:r>
          </w:p>
        </w:tc>
      </w:tr>
      <w:tr w14:paraId="22211037">
        <w:tblPrEx>
          <w:tblCellMar>
            <w:top w:w="0" w:type="dxa"/>
            <w:left w:w="108" w:type="dxa"/>
            <w:bottom w:w="0" w:type="dxa"/>
            <w:right w:w="108" w:type="dxa"/>
          </w:tblCellMar>
        </w:tblPrEx>
        <w:trPr>
          <w:trHeight w:val="43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0BB0FFC8">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089D7785">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672E5333">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6.高质量科技期刊分级目录总汇（中国科协</w:t>
            </w:r>
            <w:r>
              <w:rPr>
                <w:rFonts w:hint="eastAsia" w:ascii="宋体" w:hAnsi="宋体" w:cs="宋体"/>
                <w:color w:val="auto"/>
                <w:sz w:val="22"/>
                <w:szCs w:val="22"/>
                <w:highlight w:val="none"/>
                <w:lang w:bidi="ar"/>
              </w:rPr>
              <w:t>2022年12月</w:t>
            </w:r>
            <w:r>
              <w:rPr>
                <w:rFonts w:hint="eastAsia" w:ascii="宋体" w:hAnsi="宋体" w:cs="宋体"/>
                <w:color w:val="auto"/>
                <w:sz w:val="22"/>
                <w:szCs w:val="22"/>
                <w:lang w:bidi="ar"/>
              </w:rPr>
              <w:t>版）</w:t>
            </w:r>
          </w:p>
        </w:tc>
      </w:tr>
      <w:tr w14:paraId="2434A684">
        <w:tblPrEx>
          <w:tblCellMar>
            <w:top w:w="0" w:type="dxa"/>
            <w:left w:w="108" w:type="dxa"/>
            <w:bottom w:w="0" w:type="dxa"/>
            <w:right w:w="108" w:type="dxa"/>
          </w:tblCellMar>
        </w:tblPrEx>
        <w:trPr>
          <w:trHeight w:val="43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791CAF71">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118F1612">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003E8153">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7.EI《工程索引》检索论文</w:t>
            </w:r>
          </w:p>
        </w:tc>
      </w:tr>
      <w:tr w14:paraId="5703724E">
        <w:tblPrEx>
          <w:tblCellMar>
            <w:top w:w="0" w:type="dxa"/>
            <w:left w:w="108" w:type="dxa"/>
            <w:bottom w:w="0" w:type="dxa"/>
            <w:right w:w="108" w:type="dxa"/>
          </w:tblCellMar>
        </w:tblPrEx>
        <w:trPr>
          <w:trHeight w:val="44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5A0046E4">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right w:val="single" w:color="000000" w:sz="4" w:space="0"/>
            </w:tcBorders>
            <w:vAlign w:val="center"/>
          </w:tcPr>
          <w:p w14:paraId="395E74B6">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016C886E">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8.北大中文核心期刊中影响因子≥1的期刊论文</w:t>
            </w:r>
          </w:p>
        </w:tc>
      </w:tr>
      <w:tr w14:paraId="341728AD">
        <w:tblPrEx>
          <w:tblCellMar>
            <w:top w:w="0" w:type="dxa"/>
            <w:left w:w="108" w:type="dxa"/>
            <w:bottom w:w="0" w:type="dxa"/>
            <w:right w:w="108" w:type="dxa"/>
          </w:tblCellMar>
        </w:tblPrEx>
        <w:trPr>
          <w:trHeight w:val="446"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4E405DD7">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left w:val="single" w:color="000000" w:sz="4" w:space="0"/>
              <w:bottom w:val="single" w:color="000000" w:sz="4" w:space="0"/>
              <w:right w:val="single" w:color="000000" w:sz="4" w:space="0"/>
            </w:tcBorders>
            <w:vAlign w:val="center"/>
          </w:tcPr>
          <w:p w14:paraId="15B91B81">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14B0AB6B">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lang w:bidi="ar"/>
              </w:rPr>
            </w:pPr>
            <w:r>
              <w:rPr>
                <w:rFonts w:hint="eastAsia" w:ascii="宋体" w:hAnsi="宋体" w:cs="宋体"/>
                <w:color w:val="auto"/>
                <w:sz w:val="22"/>
                <w:szCs w:val="22"/>
                <w:lang w:bidi="ar"/>
              </w:rPr>
              <w:t>9.SCIE和SSCI三区检索论文</w:t>
            </w:r>
          </w:p>
        </w:tc>
      </w:tr>
      <w:tr w14:paraId="31B7CF27">
        <w:tblPrEx>
          <w:tblCellMar>
            <w:top w:w="0" w:type="dxa"/>
            <w:left w:w="108" w:type="dxa"/>
            <w:bottom w:w="0" w:type="dxa"/>
            <w:right w:w="108" w:type="dxa"/>
          </w:tblCellMar>
        </w:tblPrEx>
        <w:trPr>
          <w:trHeight w:val="461"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513F60A8">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restart"/>
            <w:tcBorders>
              <w:top w:val="single" w:color="000000" w:sz="4" w:space="0"/>
              <w:left w:val="single" w:color="000000" w:sz="4" w:space="0"/>
              <w:bottom w:val="single" w:color="000000" w:sz="4" w:space="0"/>
              <w:right w:val="single" w:color="000000" w:sz="4" w:space="0"/>
            </w:tcBorders>
            <w:vAlign w:val="center"/>
          </w:tcPr>
          <w:p w14:paraId="5D1EAB22">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较大影响论文</w:t>
            </w: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1D1DD31D">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1.SCIE和SSCI四区检索论文</w:t>
            </w:r>
          </w:p>
        </w:tc>
      </w:tr>
      <w:tr w14:paraId="292DBB40">
        <w:tblPrEx>
          <w:tblCellMar>
            <w:top w:w="0" w:type="dxa"/>
            <w:left w:w="108" w:type="dxa"/>
            <w:bottom w:w="0" w:type="dxa"/>
            <w:right w:w="108" w:type="dxa"/>
          </w:tblCellMar>
        </w:tblPrEx>
        <w:trPr>
          <w:trHeight w:val="489"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61EB64EE">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14:paraId="07034711">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64CA52E9">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2.A&amp;HCI《艺术与人文科学引文索引》检索论文</w:t>
            </w:r>
          </w:p>
        </w:tc>
      </w:tr>
      <w:tr w14:paraId="32AB837B">
        <w:tblPrEx>
          <w:tblCellMar>
            <w:top w:w="0" w:type="dxa"/>
            <w:left w:w="108" w:type="dxa"/>
            <w:bottom w:w="0" w:type="dxa"/>
            <w:right w:w="108" w:type="dxa"/>
          </w:tblCellMar>
        </w:tblPrEx>
        <w:trPr>
          <w:trHeight w:val="472" w:hRule="atLeast"/>
          <w:jc w:val="center"/>
        </w:trPr>
        <w:tc>
          <w:tcPr>
            <w:tcW w:w="886" w:type="dxa"/>
            <w:vMerge w:val="continue"/>
            <w:tcBorders>
              <w:top w:val="single" w:color="000000" w:sz="4" w:space="0"/>
              <w:left w:val="single" w:color="000000" w:sz="4" w:space="0"/>
              <w:bottom w:val="single" w:color="000000" w:sz="4" w:space="0"/>
              <w:right w:val="single" w:color="000000" w:sz="4" w:space="0"/>
            </w:tcBorders>
            <w:vAlign w:val="center"/>
          </w:tcPr>
          <w:p w14:paraId="604ACEAC">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1107" w:type="dxa"/>
            <w:vMerge w:val="continue"/>
            <w:tcBorders>
              <w:top w:val="single" w:color="000000" w:sz="4" w:space="0"/>
              <w:left w:val="single" w:color="000000" w:sz="4" w:space="0"/>
              <w:bottom w:val="single" w:color="000000" w:sz="4" w:space="0"/>
              <w:right w:val="single" w:color="000000" w:sz="4" w:space="0"/>
            </w:tcBorders>
            <w:vAlign w:val="center"/>
          </w:tcPr>
          <w:p w14:paraId="45DB1E37">
            <w:pPr>
              <w:keepNext w:val="0"/>
              <w:keepLines w:val="0"/>
              <w:pageBreakBefore w:val="0"/>
              <w:widowControl w:val="0"/>
              <w:kinsoku/>
              <w:wordWrap/>
              <w:overflowPunct/>
              <w:topLinePunct w:val="0"/>
              <w:bidi w:val="0"/>
              <w:adjustRightInd/>
              <w:snapToGrid/>
              <w:jc w:val="center"/>
              <w:rPr>
                <w:rFonts w:ascii="宋体" w:hAnsi="宋体" w:cs="宋体"/>
                <w:b/>
                <w:bCs/>
                <w:color w:val="auto"/>
                <w:sz w:val="22"/>
                <w:szCs w:val="22"/>
              </w:rPr>
            </w:pP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679CBA7B">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3.北大中文核心期刊中影响因子&lt;1的期刊论文</w:t>
            </w:r>
          </w:p>
        </w:tc>
      </w:tr>
      <w:tr w14:paraId="7F57380D">
        <w:tblPrEx>
          <w:tblCellMar>
            <w:top w:w="0" w:type="dxa"/>
            <w:left w:w="108" w:type="dxa"/>
            <w:bottom w:w="0" w:type="dxa"/>
            <w:right w:w="108" w:type="dxa"/>
          </w:tblCellMar>
        </w:tblPrEx>
        <w:trPr>
          <w:trHeight w:val="584" w:hRule="atLeast"/>
          <w:jc w:val="center"/>
        </w:trPr>
        <w:tc>
          <w:tcPr>
            <w:tcW w:w="1993" w:type="dxa"/>
            <w:gridSpan w:val="2"/>
            <w:tcBorders>
              <w:top w:val="single" w:color="000000" w:sz="4" w:space="0"/>
              <w:left w:val="single" w:color="000000" w:sz="4" w:space="0"/>
              <w:bottom w:val="single" w:color="000000" w:sz="4" w:space="0"/>
              <w:right w:val="single" w:color="000000" w:sz="4" w:space="0"/>
            </w:tcBorders>
            <w:vAlign w:val="center"/>
          </w:tcPr>
          <w:p w14:paraId="07DCA361">
            <w:pPr>
              <w:keepNext w:val="0"/>
              <w:keepLines w:val="0"/>
              <w:pageBreakBefore w:val="0"/>
              <w:widowControl w:val="0"/>
              <w:kinsoku/>
              <w:wordWrap/>
              <w:overflowPunct/>
              <w:topLinePunct w:val="0"/>
              <w:bidi w:val="0"/>
              <w:adjustRightInd/>
              <w:snapToGrid/>
              <w:jc w:val="center"/>
              <w:textAlignment w:val="center"/>
              <w:rPr>
                <w:rFonts w:ascii="宋体" w:hAnsi="宋体" w:cs="宋体"/>
                <w:b/>
                <w:bCs/>
                <w:color w:val="auto"/>
                <w:sz w:val="22"/>
                <w:szCs w:val="22"/>
              </w:rPr>
            </w:pPr>
            <w:r>
              <w:rPr>
                <w:rFonts w:hint="eastAsia" w:ascii="宋体" w:hAnsi="宋体" w:cs="宋体"/>
                <w:b/>
                <w:bCs/>
                <w:color w:val="auto"/>
                <w:sz w:val="22"/>
                <w:szCs w:val="22"/>
                <w:lang w:bidi="ar"/>
              </w:rPr>
              <w:t>高水平学术会议</w:t>
            </w:r>
          </w:p>
        </w:tc>
        <w:tc>
          <w:tcPr>
            <w:tcW w:w="8200" w:type="dxa"/>
            <w:gridSpan w:val="2"/>
            <w:tcBorders>
              <w:top w:val="single" w:color="000000" w:sz="4" w:space="0"/>
              <w:left w:val="single" w:color="000000" w:sz="4" w:space="0"/>
              <w:bottom w:val="single" w:color="000000" w:sz="4" w:space="0"/>
              <w:right w:val="single" w:color="000000" w:sz="4" w:space="0"/>
            </w:tcBorders>
            <w:vAlign w:val="center"/>
          </w:tcPr>
          <w:p w14:paraId="1BEC1A8C">
            <w:pPr>
              <w:keepNext w:val="0"/>
              <w:keepLines w:val="0"/>
              <w:pageBreakBefore w:val="0"/>
              <w:widowControl w:val="0"/>
              <w:kinsoku/>
              <w:wordWrap/>
              <w:overflowPunct/>
              <w:topLinePunct w:val="0"/>
              <w:bidi w:val="0"/>
              <w:adjustRightInd/>
              <w:snapToGrid/>
              <w:textAlignment w:val="center"/>
              <w:rPr>
                <w:rFonts w:ascii="宋体" w:hAnsi="宋体" w:cs="宋体"/>
                <w:color w:val="auto"/>
                <w:sz w:val="22"/>
                <w:szCs w:val="22"/>
              </w:rPr>
            </w:pPr>
            <w:r>
              <w:rPr>
                <w:rFonts w:hint="eastAsia" w:ascii="宋体" w:hAnsi="宋体" w:cs="宋体"/>
                <w:color w:val="auto"/>
                <w:sz w:val="22"/>
                <w:szCs w:val="22"/>
                <w:lang w:bidi="ar"/>
              </w:rPr>
              <w:t>重要学术会议指南</w:t>
            </w:r>
            <w:r>
              <w:rPr>
                <w:rFonts w:hint="eastAsia" w:ascii="宋体" w:hAnsi="宋体" w:cs="宋体"/>
                <w:color w:val="auto"/>
                <w:sz w:val="22"/>
                <w:szCs w:val="22"/>
                <w:highlight w:val="none"/>
                <w:lang w:bidi="ar"/>
              </w:rPr>
              <w:t>2023</w:t>
            </w:r>
          </w:p>
        </w:tc>
      </w:tr>
    </w:tbl>
    <w:p w14:paraId="6185921B">
      <w:pPr>
        <w:keepNext w:val="0"/>
        <w:keepLines w:val="0"/>
        <w:pageBreakBefore w:val="0"/>
        <w:widowControl w:val="0"/>
        <w:kinsoku/>
        <w:wordWrap/>
        <w:overflowPunct/>
        <w:topLinePunct w:val="0"/>
        <w:bidi w:val="0"/>
        <w:adjustRightInd/>
        <w:snapToGrid/>
        <w:rPr>
          <w:color w:val="auto"/>
        </w:rPr>
      </w:pPr>
    </w:p>
    <w:p w14:paraId="34D1FFA8">
      <w:pPr>
        <w:keepNext w:val="0"/>
        <w:keepLines w:val="0"/>
        <w:pageBreakBefore w:val="0"/>
        <w:widowControl w:val="0"/>
        <w:kinsoku/>
        <w:wordWrap/>
        <w:overflowPunct/>
        <w:topLinePunct w:val="0"/>
        <w:bidi w:val="0"/>
        <w:adjustRightInd/>
        <w:snapToGrid/>
        <w:rPr>
          <w:color w:val="auto"/>
        </w:rPr>
      </w:pPr>
    </w:p>
    <w:p w14:paraId="7E66095D">
      <w:pPr>
        <w:keepNext w:val="0"/>
        <w:keepLines w:val="0"/>
        <w:pageBreakBefore w:val="0"/>
        <w:widowControl w:val="0"/>
        <w:kinsoku/>
        <w:wordWrap/>
        <w:overflowPunct/>
        <w:topLinePunct w:val="0"/>
        <w:bidi w:val="0"/>
        <w:adjustRightInd/>
        <w:snapToGrid/>
        <w:jc w:val="left"/>
        <w:rPr>
          <w:rFonts w:ascii="仿宋_GB2312" w:hAnsi="宋体" w:eastAsia="仿宋_GB2312" w:cs="仿宋_GB2312"/>
          <w:color w:val="auto"/>
          <w:sz w:val="24"/>
        </w:rPr>
        <w:sectPr>
          <w:footerReference r:id="rId6" w:type="first"/>
          <w:footerReference r:id="rId5" w:type="default"/>
          <w:pgSz w:w="11906" w:h="16838"/>
          <w:pgMar w:top="1077" w:right="952" w:bottom="1077" w:left="952" w:header="851" w:footer="992" w:gutter="0"/>
          <w:pgNumType w:fmt="decimal"/>
          <w:cols w:space="720" w:num="1"/>
          <w:titlePg/>
          <w:docGrid w:type="lines" w:linePitch="312" w:charSpace="0"/>
        </w:sectPr>
      </w:pPr>
    </w:p>
    <w:p w14:paraId="3AB14DEC">
      <w:pPr>
        <w:keepNext w:val="0"/>
        <w:keepLines w:val="0"/>
        <w:pageBreakBefore w:val="0"/>
        <w:widowControl w:val="0"/>
        <w:kinsoku/>
        <w:wordWrap/>
        <w:overflowPunct/>
        <w:topLinePunct w:val="0"/>
        <w:bidi w:val="0"/>
        <w:adjustRightInd/>
        <w:snapToGrid/>
        <w:jc w:val="left"/>
        <w:rPr>
          <w:rFonts w:ascii="黑体" w:hAnsi="黑体" w:eastAsia="黑体" w:cs="黑体"/>
          <w:color w:val="auto"/>
          <w:sz w:val="32"/>
          <w:szCs w:val="32"/>
        </w:rPr>
      </w:pPr>
      <w:r>
        <w:rPr>
          <w:rFonts w:hint="eastAsia" w:ascii="黑体" w:hAnsi="黑体" w:eastAsia="黑体" w:cs="黑体"/>
          <w:color w:val="auto"/>
          <w:sz w:val="32"/>
          <w:szCs w:val="32"/>
        </w:rPr>
        <w:t>附件2</w:t>
      </w:r>
    </w:p>
    <w:p w14:paraId="2B398987">
      <w:pPr>
        <w:keepNext w:val="0"/>
        <w:keepLines w:val="0"/>
        <w:pageBreakBefore w:val="0"/>
        <w:widowControl w:val="0"/>
        <w:kinsoku/>
        <w:wordWrap/>
        <w:overflowPunct/>
        <w:topLinePunct w:val="0"/>
        <w:bidi w:val="0"/>
        <w:adjustRightInd/>
        <w:snapToGrid/>
        <w:jc w:val="left"/>
        <w:rPr>
          <w:rFonts w:ascii="黑体" w:hAnsi="黑体" w:eastAsia="黑体" w:cs="黑体"/>
          <w:color w:val="auto"/>
          <w:sz w:val="32"/>
          <w:szCs w:val="32"/>
        </w:rPr>
      </w:pPr>
    </w:p>
    <w:p w14:paraId="382212D7">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方正小标宋简体" w:hAnsi="宋体" w:eastAsia="方正小标宋简体"/>
          <w:color w:val="auto"/>
          <w:kern w:val="0"/>
          <w:sz w:val="44"/>
          <w:szCs w:val="44"/>
        </w:rPr>
      </w:pPr>
      <w:r>
        <w:rPr>
          <w:rFonts w:hint="eastAsia" w:ascii="方正小标宋简体" w:hAnsi="宋体" w:eastAsia="方正小标宋简体" w:cs="方正小标宋简体"/>
          <w:color w:val="auto"/>
          <w:kern w:val="0"/>
          <w:sz w:val="44"/>
          <w:szCs w:val="44"/>
        </w:rPr>
        <w:t>秦皇岛职业技术学院</w:t>
      </w:r>
    </w:p>
    <w:p w14:paraId="30DBC463">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方正小标宋简体" w:hAnsi="宋体" w:eastAsia="方正小标宋简体"/>
          <w:color w:val="auto"/>
          <w:kern w:val="0"/>
          <w:sz w:val="44"/>
          <w:szCs w:val="44"/>
        </w:rPr>
      </w:pPr>
      <w:r>
        <w:rPr>
          <w:rFonts w:hint="eastAsia" w:ascii="方正小标宋简体" w:hAnsi="宋体" w:eastAsia="方正小标宋简体" w:cs="方正小标宋简体"/>
          <w:color w:val="auto"/>
          <w:kern w:val="0"/>
          <w:sz w:val="44"/>
          <w:szCs w:val="44"/>
        </w:rPr>
        <w:t>高等学校教师系列专业技术职务任职资格</w:t>
      </w:r>
    </w:p>
    <w:p w14:paraId="25D414FC">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方正小标宋简体" w:hAnsi="宋体" w:eastAsia="方正小标宋简体"/>
          <w:color w:val="auto"/>
          <w:kern w:val="0"/>
          <w:sz w:val="44"/>
          <w:szCs w:val="44"/>
        </w:rPr>
      </w:pPr>
      <w:r>
        <w:rPr>
          <w:rFonts w:hint="eastAsia" w:ascii="方正小标宋简体" w:hAnsi="宋体" w:eastAsia="方正小标宋简体" w:cs="方正小标宋简体"/>
          <w:color w:val="auto"/>
          <w:kern w:val="0"/>
          <w:sz w:val="44"/>
          <w:szCs w:val="44"/>
        </w:rPr>
        <w:t>评审委员会管理办法</w:t>
      </w:r>
    </w:p>
    <w:p w14:paraId="4B4212DA">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p>
    <w:p w14:paraId="6B670F35">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r>
        <w:rPr>
          <w:rFonts w:hint="eastAsia" w:ascii="黑体" w:hAnsi="宋体" w:eastAsia="黑体" w:cs="黑体"/>
          <w:color w:val="auto"/>
          <w:kern w:val="0"/>
          <w:sz w:val="32"/>
          <w:szCs w:val="32"/>
        </w:rPr>
        <w:t>第一章 总  则</w:t>
      </w:r>
    </w:p>
    <w:p w14:paraId="5068DF1C">
      <w:pPr>
        <w:keepNext w:val="0"/>
        <w:keepLines w:val="0"/>
        <w:pageBreakBefore w:val="0"/>
        <w:widowControl w:val="0"/>
        <w:kinsoku/>
        <w:wordWrap/>
        <w:overflowPunct/>
        <w:topLinePunct w:val="0"/>
        <w:bidi w:val="0"/>
        <w:adjustRightInd/>
        <w:snapToGrid/>
        <w:spacing w:line="560" w:lineRule="exact"/>
        <w:ind w:firstLine="643" w:firstLineChars="200"/>
        <w:rPr>
          <w:rFonts w:ascii="宋体" w:hAnsi="宋体" w:cs="宋体"/>
          <w:color w:val="auto"/>
          <w:kern w:val="0"/>
        </w:rPr>
      </w:pPr>
      <w:r>
        <w:rPr>
          <w:rFonts w:hint="eastAsia" w:ascii="仿宋_GB2312" w:hAnsi="仿宋_GB2312" w:eastAsia="仿宋_GB2312" w:cs="仿宋_GB2312"/>
          <w:b/>
          <w:bCs/>
          <w:color w:val="auto"/>
          <w:kern w:val="0"/>
          <w:sz w:val="32"/>
          <w:szCs w:val="32"/>
        </w:rPr>
        <w:t>第一条</w:t>
      </w:r>
      <w:r>
        <w:rPr>
          <w:rFonts w:ascii="黑体" w:hAnsi="宋体" w:eastAsia="黑体" w:cs="黑体"/>
          <w:color w:val="auto"/>
          <w:kern w:val="0"/>
          <w:sz w:val="32"/>
          <w:szCs w:val="32"/>
        </w:rPr>
        <w:t xml:space="preserve"> </w:t>
      </w:r>
      <w:r>
        <w:rPr>
          <w:rFonts w:hint="eastAsia" w:ascii="仿宋_GB2312" w:hAnsi="宋体" w:eastAsia="仿宋_GB2312" w:cs="仿宋_GB2312"/>
          <w:color w:val="auto"/>
          <w:kern w:val="0"/>
          <w:sz w:val="32"/>
          <w:szCs w:val="32"/>
        </w:rPr>
        <w:t>为加强学院高等学校教师系列专业技术职务任职资格评审工作的组织领导，规范评审委员会的评审行为，全面评价参评人员的水平和业绩，建立科学、规范、公平、公正，符合学院发展的评审机制，依据上级有关政策规定，结合我院实际，制定本办法。</w:t>
      </w:r>
    </w:p>
    <w:p w14:paraId="1BEE580B">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r>
        <w:rPr>
          <w:rFonts w:hint="eastAsia" w:ascii="黑体" w:hAnsi="宋体" w:eastAsia="黑体" w:cs="黑体"/>
          <w:color w:val="auto"/>
          <w:kern w:val="0"/>
          <w:sz w:val="32"/>
          <w:szCs w:val="32"/>
        </w:rPr>
        <w:t>第二章 组建评委会</w:t>
      </w:r>
    </w:p>
    <w:p w14:paraId="12A3A4A1">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第二条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高等学校教师系列专业技术职务任职资格评审委员会（以下简称评委会），是职称评审的权威组织，由上级人社部门和教育主管部门批准组建。评委会分为高级、中级二个层级。评委会在学院和上级有关部门统一领导下，有组织、有计划地开展工作。</w:t>
      </w:r>
    </w:p>
    <w:p w14:paraId="176543A4">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第三条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评委会的组建原则</w:t>
      </w:r>
    </w:p>
    <w:p w14:paraId="197B3C70">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（一）按系列或专业组建原则。评委会按照职称系列或者专业组建。</w:t>
      </w:r>
    </w:p>
    <w:p w14:paraId="3415506D">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（二）同行专家评审原则。评委会委员必须由本专业具有相应职称的专家组成。</w:t>
      </w:r>
    </w:p>
    <w:p w14:paraId="34FF6461">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（三）委员人选备案原则。委员人选必须是入选评委库人员，未入选评委库的不得担任评审委员。</w:t>
      </w:r>
    </w:p>
    <w:p w14:paraId="4CF57C83">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第四条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评委会的组建方法</w:t>
      </w:r>
    </w:p>
    <w:p w14:paraId="63FA9AA6">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（一）建立评委会专家库，根据评审工作需要及时调整、更新专家库组成人员，注重吸纳高水平的本行业专家和经验丰富的一线专业技术人员进入专家库，并报上级主管部门核准备案。</w:t>
      </w:r>
    </w:p>
    <w:p w14:paraId="43B34986">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（二）学院职称工作领导小组根据工作需要制定年度评审工作方案，报人力资源社会保障部门批准后组织实施，并从专家评委库随机抽取评委，评委会主任委员、副主任委员人选在抽取的评委中产生。</w:t>
      </w:r>
    </w:p>
    <w:p w14:paraId="4FEF4679">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（三）评委会成员人数应为单数，根据工作需要设主任委员1名和副主任委员1-2名。高级评委会不少于25人，中级评委会不少于17人。</w:t>
      </w:r>
    </w:p>
    <w:p w14:paraId="298F95AD">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（四）评委会评审专家每年度进行调整，调整数量应当占上年度评审专家总数的1/3以上。评审专家连续参加同一评委会评审会议一般不超过3年。</w:t>
      </w:r>
    </w:p>
    <w:p w14:paraId="6E1F0127">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第五条</w:t>
      </w:r>
      <w:r>
        <w:rPr>
          <w:rFonts w:hint="eastAsia" w:ascii="黑体" w:hAnsi="宋体" w:eastAsia="黑体" w:cs="黑体"/>
          <w:color w:val="auto"/>
          <w:kern w:val="0"/>
          <w:sz w:val="32"/>
          <w:szCs w:val="32"/>
        </w:rPr>
        <w:t xml:space="preserve"> </w:t>
      </w:r>
      <w:r>
        <w:rPr>
          <w:rFonts w:hint="eastAsia" w:ascii="仿宋_GB2312" w:hAnsi="宋体" w:eastAsia="仿宋_GB2312" w:cs="仿宋_GB2312"/>
          <w:color w:val="auto"/>
          <w:kern w:val="0"/>
          <w:sz w:val="32"/>
          <w:szCs w:val="32"/>
        </w:rPr>
        <w:t>评委会的评审专家应当具备下列条件：</w:t>
      </w:r>
    </w:p>
    <w:p w14:paraId="30AC3A57">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（一）遵守宪法和法律，无违法和犯罪记录，具备良好的职业道德，公道正派。</w:t>
      </w:r>
    </w:p>
    <w:p w14:paraId="6CE62E5A">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（二）获得本职称系列（专业）或者相近系列（专业）相应层级的职称2年以上，从事本领域专业技术工作，在本地区本领域具有较高影响力。</w:t>
      </w:r>
    </w:p>
    <w:p w14:paraId="70134517">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（三）按要求参加评委会，能履行职称评审工作职责。</w:t>
      </w:r>
    </w:p>
    <w:p w14:paraId="5BC6682A">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（四）高级评委会评审专家应当具备正高级职称；中级评委会评审专家应当具备副高级以上职称。</w:t>
      </w:r>
    </w:p>
    <w:p w14:paraId="76B98D12">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r>
        <w:rPr>
          <w:rFonts w:hint="eastAsia" w:ascii="黑体" w:hAnsi="宋体" w:eastAsia="黑体" w:cs="黑体"/>
          <w:color w:val="auto"/>
          <w:kern w:val="0"/>
          <w:sz w:val="32"/>
          <w:szCs w:val="32"/>
        </w:rPr>
        <w:t>第三章 评审工作程序和方法</w:t>
      </w:r>
    </w:p>
    <w:p w14:paraId="713DF73C">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第六条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预备会议</w:t>
      </w:r>
    </w:p>
    <w:p w14:paraId="5347EAC0">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预备会议由</w:t>
      </w:r>
      <w:r>
        <w:rPr>
          <w:rFonts w:hint="eastAsia" w:ascii="仿宋_GB2312" w:hAnsi="宋体" w:eastAsia="仿宋_GB2312" w:cs="仿宋_GB2312"/>
          <w:color w:val="auto"/>
          <w:kern w:val="0"/>
          <w:sz w:val="32"/>
          <w:szCs w:val="32"/>
          <w:lang w:val="en-US" w:eastAsia="zh-CN"/>
        </w:rPr>
        <w:t>职称办</w:t>
      </w:r>
      <w:r>
        <w:rPr>
          <w:rFonts w:hint="eastAsia" w:ascii="仿宋_GB2312" w:hAnsi="宋体" w:eastAsia="仿宋_GB2312" w:cs="仿宋_GB2312"/>
          <w:color w:val="auto"/>
          <w:kern w:val="0"/>
          <w:sz w:val="32"/>
          <w:szCs w:val="32"/>
        </w:rPr>
        <w:t>主持召开。会议主要议程：</w:t>
      </w:r>
    </w:p>
    <w:p w14:paraId="6274F997">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（一）宣布评委会委员名单，通过</w:t>
      </w:r>
      <w:r>
        <w:rPr>
          <w:rFonts w:hint="eastAsia" w:ascii="仿宋_GB2312" w:hAnsi="宋体" w:eastAsia="仿宋_GB2312" w:cs="仿宋_GB2312"/>
          <w:color w:val="auto"/>
          <w:kern w:val="0"/>
          <w:sz w:val="32"/>
          <w:szCs w:val="32"/>
          <w:lang w:val="en-US" w:eastAsia="zh-CN"/>
        </w:rPr>
        <w:t>职称办</w:t>
      </w:r>
      <w:r>
        <w:rPr>
          <w:rFonts w:hint="eastAsia" w:ascii="仿宋_GB2312" w:hAnsi="宋体" w:eastAsia="仿宋_GB2312" w:cs="仿宋_GB2312"/>
          <w:color w:val="auto"/>
          <w:kern w:val="0"/>
          <w:sz w:val="32"/>
          <w:szCs w:val="32"/>
        </w:rPr>
        <w:t>提名的主任委员、副主任委员、学科评议组组长名单，明确学科组的划分。</w:t>
      </w:r>
    </w:p>
    <w:p w14:paraId="6F348B34">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（二）汇报评审会议准备情况，主要包括参评人员和答辩人员的数量，申报资格的审查和评审材料的审核情况，评审材料和答辩人员的分组情况，会议议程等。</w:t>
      </w:r>
    </w:p>
    <w:p w14:paraId="269B12E9">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（三）传达上级人社部门对评审工作的要求，组织学习评审条件和有关政策性文件，熟悉有关政策和评审标准，提出工作纪律等。</w:t>
      </w:r>
    </w:p>
    <w:p w14:paraId="6C5A8EDB">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（四）评委会主任委员对全体委员提出有关注意事项和工作要求。</w:t>
      </w:r>
    </w:p>
    <w:p w14:paraId="453B7AE3">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评审会议</w:t>
      </w:r>
    </w:p>
    <w:p w14:paraId="565FE243">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评审会议由主任委员或副主任委员主持，按照审阅材料、组织答辩、量化计分、投票表决的步骤组织实施。申报副高级以上职称人员均须参加现场答辩，凡不参加答辩者，视为放弃参评资格。会议主要议程：</w:t>
      </w:r>
    </w:p>
    <w:p w14:paraId="5E7EFDF4">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（一）确定答辩及评分规则。评委会根据学科专业特点确定答辩及评分规则。</w:t>
      </w:r>
    </w:p>
    <w:p w14:paraId="4F6E0BB6">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（二）审阅材料。评委会审阅参评人员业绩材料。</w:t>
      </w:r>
    </w:p>
    <w:p w14:paraId="4D82596E">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（三）组织答辩。答辩顺序通过抽签决定，答辩时间为述职5分钟，专家提问5-10分钟。专家提问内容由各评议组研究确定，重点考核参评人员的专业知识、工作业绩、学术水平、获奖成果及论文、论著等情况。</w:t>
      </w:r>
    </w:p>
    <w:p w14:paraId="19C90B70">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（四）量化计分。参评人员最终得分由业绩分和现场答辩分组成，其中业绩分为推荐环节得分，按百分制进行归一化处理，权重为60%；答辩分为评委现场打分，满分为100分，权重为40%。根据最终得分进行排序。</w:t>
      </w:r>
    </w:p>
    <w:p w14:paraId="2D7DC942">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五）投票表决。评委会主任委员主持召开评委会全体会议，进行投票表决。评委会在听取评议意见的基础上，采取少数服从多数的原则进行投票表决，同意票数达到出席评审会议评审专家总数2/3以上的即为评审通过。</w:t>
      </w:r>
    </w:p>
    <w:p w14:paraId="1875020B">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仿宋_GB2312" w:hAnsi="宋体" w:eastAsia="仿宋_GB2312"/>
          <w:color w:val="auto"/>
          <w:kern w:val="0"/>
          <w:sz w:val="32"/>
          <w:szCs w:val="32"/>
        </w:rPr>
      </w:pPr>
      <w:r>
        <w:rPr>
          <w:rFonts w:hint="eastAsia" w:ascii="仿宋_GB2312" w:hAnsi="宋体" w:eastAsia="仿宋_GB2312" w:cs="仿宋_GB2312"/>
          <w:color w:val="auto"/>
          <w:kern w:val="0"/>
          <w:sz w:val="32"/>
          <w:szCs w:val="32"/>
        </w:rPr>
        <w:t>（六）确认表决结果。由主任委员或主持会议的副主任委员宣布投票结果，评委会评审专家对评审结果签字确认。</w:t>
      </w:r>
    </w:p>
    <w:p w14:paraId="73F5DD04">
      <w:pPr>
        <w:keepNext w:val="0"/>
        <w:keepLines w:val="0"/>
        <w:pageBreakBefore w:val="0"/>
        <w:widowControl w:val="0"/>
        <w:shd w:val="clear" w:color="auto" w:fill="FFFFFF"/>
        <w:kinsoku/>
        <w:wordWrap/>
        <w:overflowPunct/>
        <w:topLinePunct w:val="0"/>
        <w:bidi w:val="0"/>
        <w:adjustRightInd/>
        <w:snapToGrid/>
        <w:spacing w:line="560" w:lineRule="exact"/>
        <w:ind w:firstLine="640" w:firstLineChars="200"/>
        <w:rPr>
          <w:rFonts w:ascii="黑体" w:hAnsi="宋体" w:eastAsia="黑体" w:cs="黑体"/>
          <w:color w:val="auto"/>
          <w:kern w:val="0"/>
          <w:sz w:val="32"/>
          <w:szCs w:val="32"/>
        </w:rPr>
      </w:pPr>
      <w:r>
        <w:rPr>
          <w:rFonts w:hint="eastAsia" w:ascii="仿宋_GB2312" w:hAnsi="宋体" w:eastAsia="仿宋_GB2312" w:cs="仿宋_GB2312"/>
          <w:color w:val="auto"/>
          <w:kern w:val="0"/>
          <w:sz w:val="32"/>
          <w:szCs w:val="32"/>
        </w:rPr>
        <w:t>（七）形成会议纪要。会议纪要内容包括会议时间、地点、出席人员、评审对象、会议议程、投票结果等。</w:t>
      </w:r>
    </w:p>
    <w:p w14:paraId="252D359B">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黑体" w:hAnsi="宋体" w:eastAsia="黑体" w:cs="黑体"/>
          <w:color w:val="auto"/>
          <w:kern w:val="0"/>
          <w:sz w:val="32"/>
          <w:szCs w:val="32"/>
        </w:rPr>
        <w:t xml:space="preserve"> </w:t>
      </w:r>
      <w:r>
        <w:rPr>
          <w:rFonts w:hint="eastAsia" w:ascii="仿宋_GB2312" w:hAnsi="宋体" w:eastAsia="仿宋_GB2312" w:cs="仿宋_GB2312"/>
          <w:color w:val="auto"/>
          <w:kern w:val="0"/>
          <w:sz w:val="32"/>
          <w:szCs w:val="32"/>
        </w:rPr>
        <w:t>评审会议结束后，</w:t>
      </w:r>
      <w:r>
        <w:rPr>
          <w:rFonts w:hint="eastAsia" w:ascii="仿宋_GB2312" w:hAnsi="宋体" w:eastAsia="仿宋_GB2312" w:cs="仿宋_GB2312"/>
          <w:color w:val="auto"/>
          <w:kern w:val="0"/>
          <w:sz w:val="32"/>
          <w:szCs w:val="32"/>
          <w:lang w:val="en-US" w:eastAsia="zh-CN"/>
        </w:rPr>
        <w:t>职称办</w:t>
      </w:r>
      <w:r>
        <w:rPr>
          <w:rFonts w:hint="eastAsia" w:ascii="仿宋_GB2312" w:hAnsi="宋体" w:eastAsia="仿宋_GB2312" w:cs="仿宋_GB2312"/>
          <w:color w:val="auto"/>
          <w:kern w:val="0"/>
          <w:sz w:val="32"/>
          <w:szCs w:val="32"/>
        </w:rPr>
        <w:t>对评审结果进行公示，公示期不少于5个工作日。对公示期间举报反映的问题线索，由</w:t>
      </w:r>
      <w:r>
        <w:rPr>
          <w:rFonts w:hint="eastAsia" w:ascii="仿宋_GB2312" w:hAnsi="宋体" w:eastAsia="仿宋_GB2312" w:cs="仿宋_GB2312"/>
          <w:color w:val="auto"/>
          <w:kern w:val="0"/>
          <w:sz w:val="32"/>
          <w:szCs w:val="32"/>
          <w:lang w:val="en-US" w:eastAsia="zh-CN"/>
        </w:rPr>
        <w:t>职称办</w:t>
      </w:r>
      <w:r>
        <w:rPr>
          <w:rFonts w:hint="eastAsia" w:ascii="仿宋_GB2312" w:hAnsi="宋体" w:eastAsia="仿宋_GB2312" w:cs="仿宋_GB2312"/>
          <w:color w:val="auto"/>
          <w:kern w:val="0"/>
          <w:sz w:val="32"/>
          <w:szCs w:val="32"/>
        </w:rPr>
        <w:t>负责调查核实。</w:t>
      </w:r>
    </w:p>
    <w:p w14:paraId="1AAFE0C2">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第九条</w:t>
      </w:r>
      <w:r>
        <w:rPr>
          <w:rFonts w:hint="eastAsia" w:ascii="黑体" w:hAnsi="宋体" w:eastAsia="黑体" w:cs="黑体"/>
          <w:color w:val="auto"/>
          <w:kern w:val="0"/>
          <w:sz w:val="32"/>
          <w:szCs w:val="32"/>
        </w:rPr>
        <w:t xml:space="preserve"> </w:t>
      </w:r>
      <w:r>
        <w:rPr>
          <w:rFonts w:hint="eastAsia" w:ascii="仿宋_GB2312" w:hAnsi="宋体" w:eastAsia="仿宋_GB2312" w:cs="仿宋_GB2312"/>
          <w:color w:val="auto"/>
          <w:kern w:val="0"/>
          <w:sz w:val="32"/>
          <w:szCs w:val="32"/>
        </w:rPr>
        <w:t>公示期结束后，按照规定报省人社厅备案，备案确认后行文公布。</w:t>
      </w:r>
    </w:p>
    <w:p w14:paraId="7A1A9792">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r>
        <w:rPr>
          <w:rFonts w:hint="eastAsia" w:ascii="黑体" w:hAnsi="宋体" w:eastAsia="黑体" w:cs="黑体"/>
          <w:color w:val="auto"/>
          <w:kern w:val="0"/>
          <w:sz w:val="32"/>
          <w:szCs w:val="32"/>
        </w:rPr>
        <w:t>第四章 工作纪律</w:t>
      </w:r>
    </w:p>
    <w:p w14:paraId="19B99F85">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第十条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评审工作须严格按本办法实施。</w:t>
      </w:r>
    </w:p>
    <w:p w14:paraId="4E813D62">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第十一条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评委会应遵循科学、规范、公平、公正的原则，严格掌握标准，保证评审质量。</w:t>
      </w:r>
    </w:p>
    <w:p w14:paraId="4B98E259">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仿宋_GB2312" w:hAnsi="宋体" w:eastAsia="仿宋_GB2312"/>
          <w:color w:val="auto"/>
          <w:kern w:val="0"/>
          <w:sz w:val="32"/>
          <w:szCs w:val="32"/>
        </w:rPr>
      </w:pPr>
      <w:r>
        <w:rPr>
          <w:rFonts w:hint="eastAsia" w:ascii="仿宋_GB2312" w:hAnsi="仿宋_GB2312" w:eastAsia="仿宋_GB2312" w:cs="仿宋_GB2312"/>
          <w:b/>
          <w:bCs/>
          <w:color w:val="auto"/>
          <w:kern w:val="0"/>
          <w:sz w:val="32"/>
          <w:szCs w:val="32"/>
        </w:rPr>
        <w:t>第十二条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严格遵守保密纪律，评审期间和评审结束后，均不得以任何形式和理由泄露评委会讨论、评议情况。</w:t>
      </w:r>
    </w:p>
    <w:p w14:paraId="02B0B2C0">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宋体" w:hAnsi="宋体" w:cs="宋体"/>
          <w:color w:val="auto"/>
          <w:kern w:val="0"/>
        </w:rPr>
      </w:pPr>
      <w:r>
        <w:rPr>
          <w:rFonts w:hint="eastAsia" w:ascii="仿宋_GB2312" w:hAnsi="仿宋_GB2312" w:eastAsia="仿宋_GB2312" w:cs="仿宋_GB2312"/>
          <w:b/>
          <w:bCs/>
          <w:color w:val="auto"/>
          <w:kern w:val="0"/>
          <w:sz w:val="32"/>
          <w:szCs w:val="32"/>
        </w:rPr>
        <w:t>第十三条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对不正确履行职责，违反评审工作纪律的评委，取消其评委资格，终身不得进入职称评审专家库，并视情况建议有关部门予以依规处理。</w:t>
      </w:r>
    </w:p>
    <w:p w14:paraId="506612B4">
      <w:pPr>
        <w:keepNext w:val="0"/>
        <w:keepLines w:val="0"/>
        <w:pageBreakBefore w:val="0"/>
        <w:widowControl w:val="0"/>
        <w:shd w:val="clear" w:color="auto" w:fill="FFFFFF"/>
        <w:kinsoku/>
        <w:wordWrap/>
        <w:overflowPunct/>
        <w:topLinePunct w:val="0"/>
        <w:bidi w:val="0"/>
        <w:adjustRightInd/>
        <w:snapToGrid/>
        <w:spacing w:line="560" w:lineRule="exact"/>
        <w:jc w:val="center"/>
        <w:rPr>
          <w:rFonts w:ascii="黑体" w:hAnsi="宋体" w:eastAsia="黑体" w:cs="黑体"/>
          <w:color w:val="auto"/>
          <w:kern w:val="0"/>
          <w:sz w:val="32"/>
          <w:szCs w:val="32"/>
        </w:rPr>
      </w:pPr>
      <w:r>
        <w:rPr>
          <w:rFonts w:hint="eastAsia" w:ascii="黑体" w:hAnsi="宋体" w:eastAsia="黑体" w:cs="黑体"/>
          <w:color w:val="auto"/>
          <w:kern w:val="0"/>
          <w:sz w:val="32"/>
          <w:szCs w:val="32"/>
        </w:rPr>
        <w:t>第五章 附  则</w:t>
      </w:r>
    </w:p>
    <w:p w14:paraId="5D338EFD">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rFonts w:ascii="宋体" w:hAnsi="宋体" w:cs="宋体"/>
          <w:color w:val="auto"/>
          <w:kern w:val="0"/>
        </w:rPr>
      </w:pPr>
      <w:r>
        <w:rPr>
          <w:rFonts w:hint="eastAsia" w:ascii="仿宋_GB2312" w:hAnsi="仿宋_GB2312" w:eastAsia="仿宋_GB2312" w:cs="仿宋_GB2312"/>
          <w:b/>
          <w:bCs/>
          <w:color w:val="auto"/>
          <w:kern w:val="0"/>
          <w:sz w:val="32"/>
          <w:szCs w:val="32"/>
        </w:rPr>
        <w:t>第十四条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本办法由学院职称工作领导小组办公室负责解释。</w:t>
      </w:r>
    </w:p>
    <w:p w14:paraId="327FCB6C">
      <w:pPr>
        <w:keepNext w:val="0"/>
        <w:keepLines w:val="0"/>
        <w:pageBreakBefore w:val="0"/>
        <w:widowControl w:val="0"/>
        <w:shd w:val="clear" w:color="auto" w:fill="FFFFFF"/>
        <w:kinsoku/>
        <w:wordWrap/>
        <w:overflowPunct/>
        <w:topLinePunct w:val="0"/>
        <w:bidi w:val="0"/>
        <w:adjustRightInd/>
        <w:snapToGrid/>
        <w:spacing w:line="560" w:lineRule="exact"/>
        <w:ind w:firstLine="643" w:firstLineChars="200"/>
        <w:rPr>
          <w:color w:val="auto"/>
        </w:rPr>
      </w:pPr>
      <w:r>
        <w:rPr>
          <w:rFonts w:hint="eastAsia" w:ascii="仿宋_GB2312" w:hAnsi="仿宋_GB2312" w:eastAsia="仿宋_GB2312" w:cs="仿宋_GB2312"/>
          <w:b/>
          <w:bCs/>
          <w:color w:val="auto"/>
          <w:kern w:val="0"/>
          <w:sz w:val="32"/>
          <w:szCs w:val="32"/>
        </w:rPr>
        <w:t>第十五条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本办法自公布之日起实施，并根据上级有关政策和学院实际适时修订。</w:t>
      </w:r>
    </w:p>
    <w:p w14:paraId="650ED747"/>
    <w:sectPr>
      <w:footerReference r:id="rId7"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CF22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bottomMargin">
                <wp:posOffset>252095</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04CD06">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left:472.6pt;margin-top:762.55pt;height:144pt;width:144pt;mso-position-horizontal-relative:page;mso-position-vertical-relative:page;mso-wrap-style:none;z-index:251659264;mso-width-relative:page;mso-height-relative:page;" filled="f" stroked="f" coordsize="21600,21600" o:gfxdata="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0Sc7tMAAAAHAQAADwAAAAAAAAABACAAAAAiAAAAZHJzL2Rvd25yZXYueG1sUEsB&#10;AhQAFAAAAAgAh07iQDnqWmPBAQAAjQMAAA4AAAAAAAAAAQAgAAAAIgEAAGRycy9lMm9Eb2MueG1s&#10;UEsFBgAAAAAGAAYAWQEAAFUFAAAAAA==&#10;">
              <v:fill on="f" focussize="0,0"/>
              <v:stroke on="f"/>
              <v:imagedata o:title=""/>
              <o:lock v:ext="edit" aspectratio="f"/>
              <v:textbox inset="0mm,0mm,0mm,0mm" style="mso-fit-shape-to-text:t;">
                <w:txbxContent>
                  <w:p w14:paraId="5104CD06">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7E53E">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5E897B">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3Rzc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yt0c3CAQAAjQMAAA4AAAAAAAAAAQAgAAAAHgEAAGRycy9lMm9Eb2MueG1sUEsF&#10;BgAAAAAGAAYAWQEAAFIFAAAAAA==&#10;">
              <v:fill on="f" focussize="0,0"/>
              <v:stroke on="f"/>
              <v:imagedata o:title=""/>
              <o:lock v:ext="edit" aspectratio="f"/>
              <v:textbox inset="0mm,0mm,0mm,0mm" style="mso-fit-shape-to-text:t;">
                <w:txbxContent>
                  <w:p w14:paraId="265E897B">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F3444">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7EE441">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g0Z8IBAACN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INGfCAQAAjQMAAA4AAAAAAAAAAQAgAAAAHgEAAGRycy9lMm9Eb2MueG1sUEsF&#10;BgAAAAAGAAYAWQEAAFIFAAAAAA==&#10;">
              <v:fill on="f" focussize="0,0"/>
              <v:stroke on="f"/>
              <v:imagedata o:title=""/>
              <o:lock v:ext="edit" aspectratio="f"/>
              <v:textbox inset="0mm,0mm,0mm,0mm" style="mso-fit-shape-to-text:t;">
                <w:txbxContent>
                  <w:p w14:paraId="7C7EE441">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13E91">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C4A2B3">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Qsy8IBAACN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ZkLMvCAQAAjQMAAA4AAAAAAAAAAQAgAAAAHgEAAGRycy9lMm9Eb2MueG1sUEsF&#10;BgAAAAAGAAYAWQEAAFIFAAAAAA==&#10;">
              <v:fill on="f" focussize="0,0"/>
              <v:stroke on="f"/>
              <v:imagedata o:title=""/>
              <o:lock v:ext="edit" aspectratio="f"/>
              <v:textbox inset="0mm,0mm,0mm,0mm" style="mso-fit-shape-to-text:t;">
                <w:txbxContent>
                  <w:p w14:paraId="28C4A2B3">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39378">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bottomMargin">
                <wp:posOffset>252095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7931C5">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61312;mso-width-relative:page;mso-height-relative:page;" filled="f" stroked="f" coordsize="21600,21600" o:gfxdata="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tEnO7TAAAABwEAAA8AAAAAAAAAAQAgAAAAIgAAAGRycy9kb3ducmV2LnhtbFBL&#10;AQIUABQAAAAIAIdO4kDlAclhwgEAAI0DAAAOAAAAAAAAAAEAIAAAACIBAABkcnMvZTJvRG9jLnht&#10;bFBLBQYAAAAABgAGAFkBAABWBQAAAAA=&#10;">
              <v:fill on="f" focussize="0,0"/>
              <v:stroke on="f"/>
              <v:imagedata o:title=""/>
              <o:lock v:ext="edit" aspectratio="f"/>
              <v:textbox inset="0mm,0mm,0mm,0mm" style="mso-fit-shape-to-text:t;">
                <w:txbxContent>
                  <w:p w14:paraId="587931C5">
                    <w:pPr>
                      <w:pStyle w:val="2"/>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90669"/>
    <w:rsid w:val="19122B1D"/>
    <w:rsid w:val="28B90A1A"/>
    <w:rsid w:val="4E6E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style>
  <w:style w:type="paragraph" w:styleId="7">
    <w:name w:val="List Paragraph"/>
    <w:basedOn w:val="1"/>
    <w:qFormat/>
    <w:uiPriority w:val="1"/>
    <w:pPr>
      <w:spacing w:before="31"/>
      <w:ind w:left="1228" w:hanging="262"/>
    </w:pPr>
  </w:style>
  <w:style w:type="character" w:customStyle="1" w:styleId="8">
    <w:name w:val="font41"/>
    <w:qFormat/>
    <w:uiPriority w:val="0"/>
    <w:rPr>
      <w:rFonts w:hint="default" w:ascii="Times New Roman" w:hAnsi="Times New Roman" w:cs="Times New Roman"/>
      <w:color w:val="000000"/>
      <w:sz w:val="24"/>
      <w:szCs w:val="24"/>
      <w:u w:val="none"/>
    </w:rPr>
  </w:style>
  <w:style w:type="character" w:customStyle="1" w:styleId="9">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7232</Words>
  <Characters>7955</Characters>
  <Lines>0</Lines>
  <Paragraphs>0</Paragraphs>
  <TotalTime>75</TotalTime>
  <ScaleCrop>false</ScaleCrop>
  <LinksUpToDate>false</LinksUpToDate>
  <CharactersWithSpaces>7988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2025-04-08T00:56:00Z</dcterms:created>
  <dc:creator>Lenovo</dc:creator>
  <cp:lastModifiedBy>Lenovo</cp:lastModifiedBy>
  <cp:lastPrinted>2025-04-17T06:32:30Z</cp:lastPrinted>
  <dcterms:modified xsi:type="dcterms:W3CDTF">2025-04-17T07:44:02Z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eyJoZGlkIjoiODczYjRjNGE2Y2U0NDM3ZWM4MGVkODU4ZWM4MzMwZTMiLCJ1c2VySWQiOiI3OTc0MzM3NjIifQ==</vt:lpwstr>
  </property>
  <property fmtid="{D5CDD505-2E9C-101B-9397-08002B2CF9AE}" pid="4" name="ICV">
    <vt:lpwstr>4270839E0E5548B7A5056BD9328FDAB4_12</vt:lpwstr>
  </property>
</Properties>
</file>