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8" w:lineRule="atLeast"/>
        <w:ind w:firstLine="0" w:firstLineChars="0"/>
        <w:jc w:val="center"/>
        <w:rPr>
          <w:rFonts w:hint="eastAsia" w:ascii="宋体" w:hAnsi="宋体" w:eastAsia="宋体" w:cs="宋体"/>
          <w:b/>
          <w:bCs/>
          <w:i w:val="0"/>
          <w:iCs w:val="0"/>
          <w:caps w:val="0"/>
          <w:color w:val="323534"/>
          <w:spacing w:val="0"/>
          <w:sz w:val="44"/>
          <w:szCs w:val="44"/>
          <w:shd w:val="clear" w:fill="FFFFFF"/>
        </w:rPr>
      </w:pPr>
      <w:bookmarkStart w:id="0" w:name="_GoBack"/>
      <w:bookmarkEnd w:id="0"/>
      <w:r>
        <w:rPr>
          <w:rFonts w:hint="eastAsia" w:ascii="宋体" w:hAnsi="宋体" w:eastAsia="宋体" w:cs="宋体"/>
          <w:b/>
          <w:bCs/>
          <w:i w:val="0"/>
          <w:iCs w:val="0"/>
          <w:caps w:val="0"/>
          <w:color w:val="323534"/>
          <w:spacing w:val="0"/>
          <w:sz w:val="44"/>
          <w:szCs w:val="44"/>
          <w:shd w:val="clear" w:fill="FFFFFF"/>
        </w:rPr>
        <w:t>财政部 商务部 税务总局</w:t>
      </w:r>
    </w:p>
    <w:p>
      <w:pPr>
        <w:autoSpaceDE w:val="0"/>
        <w:autoSpaceDN w:val="0"/>
        <w:adjustRightInd w:val="0"/>
        <w:snapToGrid w:val="0"/>
        <w:spacing w:line="588" w:lineRule="atLeast"/>
        <w:ind w:firstLine="0" w:firstLineChars="0"/>
        <w:jc w:val="center"/>
        <w:rPr>
          <w:rFonts w:hint="eastAsia" w:ascii="宋体" w:hAnsi="宋体" w:eastAsia="宋体" w:cs="宋体"/>
          <w:spacing w:val="6"/>
          <w:sz w:val="44"/>
          <w:szCs w:val="44"/>
        </w:rPr>
      </w:pPr>
      <w:r>
        <w:rPr>
          <w:rFonts w:hint="eastAsia" w:ascii="宋体" w:hAnsi="宋体" w:eastAsia="宋体" w:cs="宋体"/>
          <w:b/>
          <w:bCs/>
          <w:i w:val="0"/>
          <w:iCs w:val="0"/>
          <w:caps w:val="0"/>
          <w:color w:val="323534"/>
          <w:spacing w:val="0"/>
          <w:sz w:val="44"/>
          <w:szCs w:val="44"/>
          <w:shd w:val="clear" w:fill="FFFFFF"/>
        </w:rPr>
        <w:t>关于研发机构采购设备增值税政策的公告</w:t>
      </w:r>
    </w:p>
    <w:p/>
    <w:p>
      <w:pPr>
        <w:jc w:val="center"/>
        <w:rPr>
          <w:rFonts w:ascii="Helvetica" w:hAnsi="Helvetica" w:eastAsia="Helvetica" w:cs="Helvetica"/>
          <w:b/>
          <w:bCs/>
          <w:i w:val="0"/>
          <w:iCs w:val="0"/>
          <w:caps w:val="0"/>
          <w:color w:val="DF0000"/>
          <w:spacing w:val="0"/>
          <w:sz w:val="24"/>
          <w:szCs w:val="24"/>
          <w:shd w:val="clear" w:fill="FFFFFF"/>
        </w:rPr>
      </w:pPr>
      <w:r>
        <w:rPr>
          <w:rFonts w:ascii="Helvetica" w:hAnsi="Helvetica" w:eastAsia="Helvetica" w:cs="Helvetica"/>
          <w:b/>
          <w:bCs/>
          <w:i w:val="0"/>
          <w:iCs w:val="0"/>
          <w:caps w:val="0"/>
          <w:color w:val="DF0000"/>
          <w:spacing w:val="0"/>
          <w:sz w:val="24"/>
          <w:szCs w:val="24"/>
          <w:shd w:val="clear" w:fill="FFFFFF"/>
        </w:rPr>
        <w:t>财政部 商务部 税务总局公告2023年第41号</w:t>
      </w:r>
    </w:p>
    <w:p>
      <w:pPr>
        <w:jc w:val="center"/>
        <w:rPr>
          <w:rFonts w:ascii="Helvetica" w:hAnsi="Helvetica" w:eastAsia="Helvetica" w:cs="Helvetica"/>
          <w:b/>
          <w:bCs/>
          <w:i w:val="0"/>
          <w:iCs w:val="0"/>
          <w:caps w:val="0"/>
          <w:color w:val="DF0000"/>
          <w:spacing w:val="0"/>
          <w:sz w:val="24"/>
          <w:szCs w:val="24"/>
          <w:shd w:val="clear" w:fill="FFFFFF"/>
        </w:rPr>
      </w:pPr>
    </w:p>
    <w:p>
      <w:pPr>
        <w:jc w:val="center"/>
        <w:rPr>
          <w:rFonts w:ascii="Helvetica" w:hAnsi="Helvetica" w:eastAsia="Helvetica" w:cs="Helvetica"/>
          <w:b/>
          <w:bCs/>
          <w:i w:val="0"/>
          <w:iCs w:val="0"/>
          <w:caps w:val="0"/>
          <w:color w:val="DF0000"/>
          <w:spacing w:val="0"/>
          <w:sz w:val="24"/>
          <w:szCs w:val="24"/>
          <w:shd w:val="clear" w:fill="FFFFFF"/>
        </w:rPr>
      </w:pP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为鼓励科学研究和技术开发，促进科技进步，继续对内资研发机构和外资研发中心采购国产设备全额退还增值税。现将有关事项公告如下：</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一、适用采购国产设备全额退还增值税政策的内资研发机构和外资研发中心包括：</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（一）科技部会同财政部、海关总署和税务总局核定的科技体制改革过程中转制为企业和进入企业的主要从事科学研究和技术开发工作的机构；</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（二）国家发展改革委会同财政部、海关总署和税务总局核定的国家工程研究中心；</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（三）国家发展改革委会同财政部、海关总署、税务总局和科技部核定的企业技术中心；</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（四）科技部会同财政部、海关总署和税务总局核定的国家重点实验室（含企业国家重点实验室）和国家工程技术研究中心；</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（五）科技部核定的国务院部委、直属机构所属从事科学研究工作的各类科研院所，以及各省、自治区、直辖市、计划单列市科技主管部门核定的本级政府所属从事科学研究工作的各类科研院所；</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（六）科技部会同民政部核定或者各省、自治区、直辖市、计划单列市及新疆生产建设兵团科技主管部门会同同级民政部门核定的科技类民办非企业单位；</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（七）工业和信息化部会同财政部、海关总署、税务总局核定的国家中小企业公共服务示范平台（技术类）；</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（八）国家承认学历的实施专科及以上高等学历教育的高等学校（以教育部门户网站公布名单为准）；</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（九）符合本公告第二条规定的外资研发中心；</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（十）财政部会同国务院有关部门核定的其他科学研究机构、技术开发机构和学校。</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二、外资研发中心应同时满足下列条件：</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（一）研发费用标准：作为独立法人的，其投资总额不低于800万美元；作为公司内设部门或分公司的非独立法人的，其研发总投入不低于800万美元。</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（二）专职研究与试验发展人员不低于80人。</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（三）设立以来累计购置的设备原值不低于2000万元。</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外资研发中心须经商务主管部门会同有关部门按照上述条件进行资格审核认定。具体审核认定办法见附件1。</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三、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四、本公告的有关定义：</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（一）本公告所述“投资总额”，是指商务主管部门出具或发放的外商投资信息报告回执或企业批准证书或设立、变更备案回执等文件所载明的金额。</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（二）本公告所述“研发总投入”，是指外商投资企业专门为设立和建设本研发中心而投入的资产，包括即将投入并签订购置合同的资产（应提交已采购资产清单和即将采购资产的合同清单）。</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三）本公告所述“研发经费年支出额”，是指近两个会计年度研发经费年均支出额；不足两个完整会计年度的，可按外资研发中心设立以来任意连续12个月的实际研发经费支出额计算；现金与实物资产投入应不低于60%。</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四）本公告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五）本公告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2）。对执行中国产设备范围存在异议的，由主管税务机关逐级上报税务总局商财政部核定。</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五、本公告执行至2027年12月31日，具体从内资研发机构和外资研发中心取得退税资格的次月1日起执行。</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特此公告。</w:t>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附件：</w:t>
      </w:r>
      <w:r>
        <w:rPr>
          <w:rFonts w:hint="eastAsia" w:ascii="仿宋" w:hAnsi="仿宋" w:eastAsia="仿宋" w:cs="仿宋"/>
          <w:b w:val="0"/>
          <w:bCs w:val="0"/>
          <w:i w:val="0"/>
          <w:iCs w:val="0"/>
          <w:caps w:val="0"/>
          <w:color w:val="auto"/>
          <w:spacing w:val="0"/>
          <w:sz w:val="32"/>
          <w:szCs w:val="32"/>
          <w:shd w:val="clear" w:fill="FFFFFF"/>
        </w:rPr>
        <w:fldChar w:fldCharType="begin"/>
      </w:r>
      <w:r>
        <w:rPr>
          <w:rFonts w:hint="eastAsia" w:ascii="仿宋" w:hAnsi="仿宋" w:eastAsia="仿宋" w:cs="仿宋"/>
          <w:b w:val="0"/>
          <w:bCs w:val="0"/>
          <w:i w:val="0"/>
          <w:iCs w:val="0"/>
          <w:caps w:val="0"/>
          <w:color w:val="auto"/>
          <w:spacing w:val="0"/>
          <w:sz w:val="32"/>
          <w:szCs w:val="32"/>
          <w:shd w:val="clear" w:fill="FFFFFF"/>
        </w:rPr>
        <w:instrText xml:space="preserve"> HYPERLINK "https://www.chinatax.gov.cn/chinatax/n359/c5211463/5211463/files/1.%E5%A4%96%E8%B5%84%E7%A0%94%E5%8F%91%E4%B8%AD%E5%BF%83%E9%87%87%E8%B4%AD%E5%9B%BD%E4%BA%A7%E8%AE%BE%E5%A4%87%E9%80%80%E7%A8%8E%E8%B5%84%E6%A0%BC%E5%AE%A1%E6%A0%B8%E8%AE%A4%E5%AE%9A%E5%8A%9E%E6%B3%95.pdf.pdf" \t "https://www.chinatax.gov.cn/chinatax/n359/c5211463/_blank" </w:instrText>
      </w:r>
      <w:r>
        <w:rPr>
          <w:rFonts w:hint="eastAsia" w:ascii="仿宋" w:hAnsi="仿宋" w:eastAsia="仿宋" w:cs="仿宋"/>
          <w:b w:val="0"/>
          <w:bCs w:val="0"/>
          <w:i w:val="0"/>
          <w:iCs w:val="0"/>
          <w:caps w:val="0"/>
          <w:color w:val="auto"/>
          <w:spacing w:val="0"/>
          <w:sz w:val="32"/>
          <w:szCs w:val="32"/>
          <w:shd w:val="clear" w:fill="FFFFFF"/>
        </w:rPr>
        <w:fldChar w:fldCharType="separate"/>
      </w:r>
      <w:r>
        <w:rPr>
          <w:rFonts w:hint="eastAsia" w:ascii="仿宋" w:hAnsi="仿宋" w:eastAsia="仿宋" w:cs="仿宋"/>
          <w:b w:val="0"/>
          <w:bCs w:val="0"/>
          <w:i w:val="0"/>
          <w:iCs w:val="0"/>
          <w:caps w:val="0"/>
          <w:color w:val="auto"/>
          <w:spacing w:val="0"/>
          <w:sz w:val="32"/>
          <w:szCs w:val="32"/>
          <w:shd w:val="clear" w:fill="FFFFFF"/>
        </w:rPr>
        <w:t>1.外资研发中心采购国产设备退税资格审核认定办法</w:t>
      </w:r>
      <w:r>
        <w:rPr>
          <w:rFonts w:hint="eastAsia" w:ascii="仿宋" w:hAnsi="仿宋" w:eastAsia="仿宋" w:cs="仿宋"/>
          <w:b w:val="0"/>
          <w:bCs w:val="0"/>
          <w:i w:val="0"/>
          <w:iCs w:val="0"/>
          <w:caps w:val="0"/>
          <w:color w:val="auto"/>
          <w:spacing w:val="0"/>
          <w:sz w:val="32"/>
          <w:szCs w:val="32"/>
          <w:shd w:val="clear" w:fill="FFFFFF"/>
        </w:rPr>
        <w:fldChar w:fldCharType="end"/>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rPr>
        <w:fldChar w:fldCharType="begin"/>
      </w:r>
      <w:r>
        <w:rPr>
          <w:rFonts w:hint="eastAsia" w:ascii="仿宋" w:hAnsi="仿宋" w:eastAsia="仿宋" w:cs="仿宋"/>
          <w:b w:val="0"/>
          <w:bCs w:val="0"/>
          <w:i w:val="0"/>
          <w:iCs w:val="0"/>
          <w:caps w:val="0"/>
          <w:color w:val="auto"/>
          <w:spacing w:val="0"/>
          <w:sz w:val="32"/>
          <w:szCs w:val="32"/>
          <w:shd w:val="clear" w:fill="FFFFFF"/>
        </w:rPr>
        <w:instrText xml:space="preserve"> HYPERLINK "https://www.chinatax.gov.cn/chinatax/n359/c5211463/5211463/files/2.%E7%A7%91%E6%8A%80%E5%BC%80%E5%8F%91%E3%80%81%E7%A7%91%E5%AD%A6%E7%A0%94%E7%A9%B6%E5%92%8C%E6%95%99%E5%AD%A6%E8%AE%BE%E5%A4%87%E6%B8%85%E5%8D%95.pdf.pdf" \t "https://www.chinatax.gov.cn/chinatax/n359/c5211463/_blank" </w:instrText>
      </w:r>
      <w:r>
        <w:rPr>
          <w:rFonts w:hint="eastAsia" w:ascii="仿宋" w:hAnsi="仿宋" w:eastAsia="仿宋" w:cs="仿宋"/>
          <w:b w:val="0"/>
          <w:bCs w:val="0"/>
          <w:i w:val="0"/>
          <w:iCs w:val="0"/>
          <w:caps w:val="0"/>
          <w:color w:val="auto"/>
          <w:spacing w:val="0"/>
          <w:sz w:val="32"/>
          <w:szCs w:val="32"/>
          <w:shd w:val="clear" w:fill="FFFFFF"/>
        </w:rPr>
        <w:fldChar w:fldCharType="separate"/>
      </w:r>
      <w:r>
        <w:rPr>
          <w:rFonts w:hint="eastAsia" w:ascii="仿宋" w:hAnsi="仿宋" w:eastAsia="仿宋" w:cs="仿宋"/>
          <w:b w:val="0"/>
          <w:bCs w:val="0"/>
          <w:i w:val="0"/>
          <w:iCs w:val="0"/>
          <w:caps w:val="0"/>
          <w:color w:val="auto"/>
          <w:spacing w:val="0"/>
          <w:sz w:val="32"/>
          <w:szCs w:val="32"/>
          <w:shd w:val="clear" w:fill="FFFFFF"/>
        </w:rPr>
        <w:t>2.科技开发、科学研究和教学设备清单</w:t>
      </w:r>
      <w:r>
        <w:rPr>
          <w:rFonts w:hint="eastAsia" w:ascii="仿宋" w:hAnsi="仿宋" w:eastAsia="仿宋" w:cs="仿宋"/>
          <w:b w:val="0"/>
          <w:bCs w:val="0"/>
          <w:i w:val="0"/>
          <w:iCs w:val="0"/>
          <w:caps w:val="0"/>
          <w:color w:val="auto"/>
          <w:spacing w:val="0"/>
          <w:sz w:val="32"/>
          <w:szCs w:val="32"/>
          <w:shd w:val="clear" w:fill="FFFFFF"/>
        </w:rPr>
        <w:fldChar w:fldCharType="end"/>
      </w: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p>
    <w:p>
      <w:pPr>
        <w:ind w:firstLine="640" w:firstLineChars="200"/>
        <w:jc w:val="left"/>
        <w:rPr>
          <w:rFonts w:hint="eastAsia" w:ascii="仿宋" w:hAnsi="仿宋" w:eastAsia="仿宋" w:cs="仿宋"/>
          <w:b w:val="0"/>
          <w:bCs w:val="0"/>
          <w:i w:val="0"/>
          <w:iCs w:val="0"/>
          <w:caps w:val="0"/>
          <w:color w:val="auto"/>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left"/>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财政部 商务部 税务总局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0" w:firstLineChars="2000"/>
        <w:jc w:val="left"/>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2023年8月28日</w:t>
      </w:r>
    </w:p>
    <w:p>
      <w:pPr>
        <w:ind w:firstLine="640" w:firstLineChars="200"/>
        <w:jc w:val="left"/>
        <w:rPr>
          <w:rFonts w:hint="default" w:ascii="仿宋" w:hAnsi="仿宋" w:eastAsia="仿宋" w:cs="仿宋"/>
          <w:b w:val="0"/>
          <w:bCs w:val="0"/>
          <w:i w:val="0"/>
          <w:iCs w:val="0"/>
          <w:caps w:val="0"/>
          <w:color w:val="auto"/>
          <w:spacing w:val="0"/>
          <w:sz w:val="32"/>
          <w:szCs w:val="32"/>
          <w:shd w:val="clear" w:fill="FFFFFF"/>
        </w:rPr>
      </w:pPr>
    </w:p>
    <w:p>
      <w:pPr>
        <w:ind w:firstLine="643" w:firstLineChars="200"/>
        <w:jc w:val="left"/>
        <w:rPr>
          <w:rFonts w:hint="eastAsia" w:ascii="仿宋" w:hAnsi="仿宋" w:eastAsia="仿宋" w:cs="仿宋"/>
          <w:b/>
          <w:bCs/>
          <w:i w:val="0"/>
          <w:iCs w:val="0"/>
          <w:caps w:val="0"/>
          <w:color w:val="DF0000"/>
          <w:spacing w:val="0"/>
          <w:sz w:val="32"/>
          <w:szCs w:val="32"/>
          <w:shd w:val="clear" w:fill="FFFFFF"/>
        </w:rPr>
      </w:pPr>
    </w:p>
    <w:p>
      <w:pPr>
        <w:ind w:firstLine="640" w:firstLineChars="200"/>
        <w:rPr>
          <w:rFonts w:hint="eastAsia" w:ascii="仿宋" w:hAnsi="仿宋" w:eastAsia="仿宋" w:cs="仿宋"/>
          <w:sz w:val="32"/>
          <w:szCs w:val="32"/>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60484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1ZmQxNDc0NjViZGIwOTIwZmNmMWVjZWY1YmU1MDEifQ=="/>
  </w:docVars>
  <w:rsids>
    <w:rsidRoot w:val="006F1C17"/>
    <w:rsid w:val="001770D5"/>
    <w:rsid w:val="002A5E2B"/>
    <w:rsid w:val="0044611A"/>
    <w:rsid w:val="00671986"/>
    <w:rsid w:val="006A06B4"/>
    <w:rsid w:val="006F1C17"/>
    <w:rsid w:val="00936F8D"/>
    <w:rsid w:val="00D72208"/>
    <w:rsid w:val="1E23543D"/>
    <w:rsid w:val="20286C7E"/>
    <w:rsid w:val="2D4276B6"/>
    <w:rsid w:val="4C25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1</Pages>
  <Words>124</Words>
  <Characters>707</Characters>
  <Lines>5</Lines>
  <Paragraphs>1</Paragraphs>
  <TotalTime>11</TotalTime>
  <ScaleCrop>false</ScaleCrop>
  <LinksUpToDate>false</LinksUpToDate>
  <CharactersWithSpaces>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2016-11-09T05:32:00Z</dcterms:created>
  <dc:creator>王晓羽</dc:creator>
  <cp:lastModifiedBy>猪荔椰</cp:lastModifiedBy>
  <dcterms:modified xsi:type="dcterms:W3CDTF">2023-10-24T01:38:14Z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C2E6DC8F19304453863618C511089326_12</vt:lpwstr>
  </property>
</Properties>
</file>